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64" w:rsidRPr="00B64AFE" w:rsidRDefault="007B0A95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B64AFE">
        <w:rPr>
          <w:rFonts w:cs="Times New Roman"/>
          <w:b/>
          <w:bCs/>
          <w:color w:val="4F2170"/>
          <w:sz w:val="36"/>
          <w:szCs w:val="36"/>
        </w:rPr>
        <w:t>Schulich School of Medicine and Dentistry</w:t>
      </w:r>
    </w:p>
    <w:p w:rsidR="003F5464" w:rsidRPr="003F5464" w:rsidRDefault="003F5464" w:rsidP="003F5464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3F5464">
        <w:rPr>
          <w:sz w:val="22"/>
          <w:szCs w:val="22"/>
        </w:rPr>
        <w:t xml:space="preserve">The School has an allocation of </w:t>
      </w:r>
      <w:r w:rsidR="00B7063A">
        <w:rPr>
          <w:b/>
          <w:sz w:val="22"/>
          <w:szCs w:val="22"/>
        </w:rPr>
        <w:t>62</w:t>
      </w:r>
      <w:r w:rsidRPr="000611F4">
        <w:rPr>
          <w:b/>
          <w:sz w:val="22"/>
          <w:szCs w:val="22"/>
        </w:rPr>
        <w:t xml:space="preserve"> awards</w:t>
      </w:r>
      <w:r w:rsidRPr="003F5464">
        <w:rPr>
          <w:sz w:val="22"/>
          <w:szCs w:val="22"/>
        </w:rPr>
        <w:t>. This represents a combined allocation of Ontario Graduate Scholarships (OGS) and Queen Elizabeth II Graduate Scholarships in Science and Technology (QEII). Both will be referred to in this document as OGS.</w:t>
      </w:r>
    </w:p>
    <w:p w:rsidR="003F5464" w:rsidRDefault="003F5464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3F5464">
        <w:rPr>
          <w:sz w:val="22"/>
          <w:szCs w:val="22"/>
        </w:rPr>
        <w:t>Up to 25% (or more) OGS awards within the Faculty must be awarded to new incoming graduate students.</w:t>
      </w:r>
    </w:p>
    <w:p w:rsidR="00DA70E0" w:rsidRPr="00DA70E0" w:rsidRDefault="003140F0" w:rsidP="00DA70E0">
      <w:pPr>
        <w:pStyle w:val="NoSpacing"/>
        <w:numPr>
          <w:ilvl w:val="0"/>
          <w:numId w:val="1"/>
        </w:numPr>
        <w:rPr>
          <w:rFonts w:ascii="Calibri" w:eastAsiaTheme="minorEastAsia" w:hAnsi="Calibri" w:cs="Calibri"/>
          <w:sz w:val="22"/>
          <w:szCs w:val="22"/>
        </w:rPr>
      </w:pPr>
      <w:r w:rsidRPr="00DA70E0">
        <w:rPr>
          <w:rFonts w:ascii="Calibri" w:eastAsiaTheme="minorEastAsia" w:hAnsi="Calibri" w:cs="Calibri"/>
          <w:sz w:val="22"/>
          <w:szCs w:val="22"/>
        </w:rPr>
        <w:t xml:space="preserve">The </w:t>
      </w:r>
      <w:r w:rsidR="00DA70E0" w:rsidRPr="00DA70E0">
        <w:rPr>
          <w:rFonts w:ascii="Calibri" w:eastAsiaTheme="minorEastAsia" w:hAnsi="Calibri" w:cs="Calibri"/>
          <w:sz w:val="22"/>
          <w:szCs w:val="22"/>
        </w:rPr>
        <w:t>following Sc</w:t>
      </w:r>
      <w:r w:rsidR="00DA70E0">
        <w:rPr>
          <w:rFonts w:ascii="Calibri" w:eastAsiaTheme="minorEastAsia" w:hAnsi="Calibri" w:cs="Calibri"/>
          <w:sz w:val="22"/>
          <w:szCs w:val="22"/>
        </w:rPr>
        <w:t>h</w:t>
      </w:r>
      <w:r w:rsidR="00DA70E0" w:rsidRPr="00DA70E0">
        <w:rPr>
          <w:rFonts w:ascii="Calibri" w:eastAsiaTheme="minorEastAsia" w:hAnsi="Calibri" w:cs="Calibri"/>
          <w:sz w:val="22"/>
          <w:szCs w:val="22"/>
        </w:rPr>
        <w:t xml:space="preserve">ulich School of Medicine and Dentistry graduate programs are </w:t>
      </w:r>
      <w:r w:rsidR="00DA70E0" w:rsidRPr="00BF5D41">
        <w:rPr>
          <w:rFonts w:ascii="Calibri" w:eastAsiaTheme="minorEastAsia" w:hAnsi="Calibri" w:cs="Calibri"/>
          <w:sz w:val="22"/>
          <w:szCs w:val="22"/>
          <w:u w:val="single"/>
        </w:rPr>
        <w:t>not</w:t>
      </w:r>
      <w:r w:rsidR="00DA70E0" w:rsidRPr="00DA70E0">
        <w:rPr>
          <w:rFonts w:ascii="Calibri" w:eastAsiaTheme="minorEastAsia" w:hAnsi="Calibri" w:cs="Calibri"/>
          <w:sz w:val="22"/>
          <w:szCs w:val="22"/>
        </w:rPr>
        <w:t xml:space="preserve"> eligible for OGS:</w:t>
      </w:r>
    </w:p>
    <w:p w:rsidR="00DA70E0" w:rsidRPr="00DA70E0" w:rsidRDefault="003140F0" w:rsidP="00DA70E0">
      <w:pPr>
        <w:pStyle w:val="NoSpacing"/>
        <w:numPr>
          <w:ilvl w:val="0"/>
          <w:numId w:val="21"/>
        </w:numPr>
        <w:rPr>
          <w:rFonts w:ascii="Calibri" w:eastAsiaTheme="minorEastAsia" w:hAnsi="Calibri" w:cs="Calibri"/>
          <w:sz w:val="22"/>
          <w:szCs w:val="22"/>
        </w:rPr>
      </w:pPr>
      <w:r w:rsidRPr="00DA70E0">
        <w:rPr>
          <w:rFonts w:ascii="Calibri" w:eastAsiaTheme="minorEastAsia" w:hAnsi="Calibri" w:cs="Calibri"/>
          <w:sz w:val="22"/>
          <w:szCs w:val="22"/>
        </w:rPr>
        <w:t>Master of Pub</w:t>
      </w:r>
      <w:r w:rsidR="00DA70E0" w:rsidRPr="00DA70E0">
        <w:rPr>
          <w:rFonts w:ascii="Calibri" w:eastAsiaTheme="minorEastAsia" w:hAnsi="Calibri" w:cs="Calibri"/>
          <w:sz w:val="22"/>
          <w:szCs w:val="22"/>
        </w:rPr>
        <w:t>lic Health graduate program</w:t>
      </w:r>
    </w:p>
    <w:p w:rsidR="00DA70E0" w:rsidRDefault="00DA70E0" w:rsidP="00DA70E0">
      <w:pPr>
        <w:pStyle w:val="NoSpacing"/>
        <w:numPr>
          <w:ilvl w:val="0"/>
          <w:numId w:val="21"/>
        </w:numPr>
        <w:rPr>
          <w:rFonts w:ascii="Calibri" w:eastAsiaTheme="minorEastAsia" w:hAnsi="Calibri" w:cs="Calibri"/>
          <w:sz w:val="22"/>
          <w:szCs w:val="22"/>
        </w:rPr>
      </w:pPr>
      <w:r w:rsidRPr="00DA70E0">
        <w:rPr>
          <w:rFonts w:ascii="Calibri" w:eastAsiaTheme="minorEastAsia" w:hAnsi="Calibri" w:cs="Calibri"/>
          <w:sz w:val="22"/>
          <w:szCs w:val="22"/>
        </w:rPr>
        <w:t>Pathologists’ Assistant Master of Clinical Science (M</w:t>
      </w:r>
      <w:r w:rsidR="00530533">
        <w:rPr>
          <w:rFonts w:ascii="Calibri" w:eastAsiaTheme="minorEastAsia" w:hAnsi="Calibri" w:cs="Calibri"/>
          <w:sz w:val="22"/>
          <w:szCs w:val="22"/>
        </w:rPr>
        <w:t>.</w:t>
      </w:r>
      <w:r w:rsidRPr="00DA70E0">
        <w:rPr>
          <w:rFonts w:ascii="Calibri" w:eastAsiaTheme="minorEastAsia" w:hAnsi="Calibri" w:cs="Calibri"/>
          <w:sz w:val="22"/>
          <w:szCs w:val="22"/>
        </w:rPr>
        <w:t>Cl</w:t>
      </w:r>
      <w:r w:rsidR="00530533">
        <w:rPr>
          <w:rFonts w:ascii="Calibri" w:eastAsiaTheme="minorEastAsia" w:hAnsi="Calibri" w:cs="Calibri"/>
          <w:sz w:val="22"/>
          <w:szCs w:val="22"/>
        </w:rPr>
        <w:t>.</w:t>
      </w:r>
      <w:r w:rsidRPr="00DA70E0">
        <w:rPr>
          <w:rFonts w:ascii="Calibri" w:eastAsiaTheme="minorEastAsia" w:hAnsi="Calibri" w:cs="Calibri"/>
          <w:sz w:val="22"/>
          <w:szCs w:val="22"/>
        </w:rPr>
        <w:t>Sc</w:t>
      </w:r>
      <w:r w:rsidR="00530533">
        <w:rPr>
          <w:rFonts w:ascii="Calibri" w:eastAsiaTheme="minorEastAsia" w:hAnsi="Calibri" w:cs="Calibri"/>
          <w:sz w:val="22"/>
          <w:szCs w:val="22"/>
        </w:rPr>
        <w:t>.</w:t>
      </w:r>
      <w:r w:rsidRPr="00DA70E0">
        <w:rPr>
          <w:rFonts w:ascii="Calibri" w:eastAsiaTheme="minorEastAsia" w:hAnsi="Calibri" w:cs="Calibri"/>
          <w:sz w:val="22"/>
          <w:szCs w:val="22"/>
        </w:rPr>
        <w:t>)</w:t>
      </w:r>
    </w:p>
    <w:p w:rsidR="00530533" w:rsidRDefault="00530533" w:rsidP="00DA70E0">
      <w:pPr>
        <w:pStyle w:val="NoSpacing"/>
        <w:numPr>
          <w:ilvl w:val="0"/>
          <w:numId w:val="21"/>
        </w:numPr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Family Medicine (M.Cl.Sc. and Ph.D.)</w:t>
      </w:r>
    </w:p>
    <w:p w:rsidR="00530533" w:rsidRDefault="00530533" w:rsidP="00DA70E0">
      <w:pPr>
        <w:pStyle w:val="NoSpacing"/>
        <w:numPr>
          <w:ilvl w:val="0"/>
          <w:numId w:val="21"/>
        </w:numPr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Orthodontics (M.Cl.D.)</w:t>
      </w:r>
    </w:p>
    <w:p w:rsidR="00DA70E0" w:rsidRPr="00DA70E0" w:rsidRDefault="00DA70E0" w:rsidP="00DA70E0">
      <w:pPr>
        <w:pStyle w:val="NoSpacing"/>
        <w:ind w:left="2160"/>
        <w:rPr>
          <w:rFonts w:ascii="Calibri" w:eastAsiaTheme="minorEastAsia" w:hAnsi="Calibri" w:cs="Calibri"/>
          <w:sz w:val="22"/>
          <w:szCs w:val="22"/>
        </w:rPr>
      </w:pPr>
    </w:p>
    <w:p w:rsidR="003F5464" w:rsidRPr="003F5464" w:rsidRDefault="003F5464" w:rsidP="003F5464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3F5464">
        <w:rPr>
          <w:sz w:val="22"/>
          <w:szCs w:val="22"/>
        </w:rPr>
        <w:t xml:space="preserve">The School’s allocation of awards has been proportionally distributed to the graduate programs based on ratios that reflect </w:t>
      </w:r>
      <w:r w:rsidR="00F3316D">
        <w:rPr>
          <w:sz w:val="22"/>
          <w:szCs w:val="22"/>
        </w:rPr>
        <w:t xml:space="preserve">a </w:t>
      </w:r>
      <w:r w:rsidRPr="003F5464">
        <w:rPr>
          <w:sz w:val="22"/>
          <w:szCs w:val="22"/>
        </w:rPr>
        <w:t>consideration of planned domestic enrollment.</w:t>
      </w:r>
    </w:p>
    <w:p w:rsidR="003F5464" w:rsidRDefault="003F5464" w:rsidP="003F5464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3F5464">
        <w:rPr>
          <w:sz w:val="22"/>
          <w:szCs w:val="22"/>
        </w:rPr>
        <w:t>The 6</w:t>
      </w:r>
      <w:r w:rsidR="003140F0">
        <w:rPr>
          <w:sz w:val="22"/>
          <w:szCs w:val="22"/>
        </w:rPr>
        <w:t>2</w:t>
      </w:r>
      <w:r w:rsidRPr="003F5464">
        <w:rPr>
          <w:sz w:val="22"/>
          <w:szCs w:val="22"/>
        </w:rPr>
        <w:t xml:space="preserve"> allocated awards will be decided by ten (10) of the School’s graduate programs, and the graduate program allocations are as follows:</w:t>
      </w:r>
    </w:p>
    <w:tbl>
      <w:tblPr>
        <w:tblW w:w="4698" w:type="dxa"/>
        <w:tblInd w:w="1170" w:type="dxa"/>
        <w:tblLayout w:type="fixed"/>
        <w:tblLook w:val="04A0" w:firstRow="1" w:lastRow="0" w:firstColumn="1" w:lastColumn="0" w:noHBand="0" w:noVBand="1"/>
      </w:tblPr>
      <w:tblGrid>
        <w:gridCol w:w="3438"/>
        <w:gridCol w:w="1260"/>
      </w:tblGrid>
      <w:tr w:rsidR="00CF4153" w:rsidRPr="00841ECA" w:rsidTr="00CF4153">
        <w:trPr>
          <w:trHeight w:val="315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153" w:rsidRPr="007B0A95" w:rsidRDefault="00CF4153" w:rsidP="00B964D2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4153" w:rsidRDefault="00CF4153" w:rsidP="00F00181">
            <w:pPr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463E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9</w:t>
            </w:r>
            <w:r w:rsidRPr="00463E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-20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20</w:t>
            </w:r>
          </w:p>
          <w:p w:rsidR="00CF4153" w:rsidRDefault="00CF4153" w:rsidP="00BF5D41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</w:tr>
      <w:tr w:rsidR="00CF4153" w:rsidRPr="00841ECA" w:rsidTr="00CF4153">
        <w:trPr>
          <w:trHeight w:val="315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153" w:rsidRPr="007B0A95" w:rsidRDefault="00CF4153" w:rsidP="00B964D2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Anatomy &amp; Cell Biology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4153" w:rsidRDefault="00CF4153" w:rsidP="00B964D2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bookmarkStart w:id="0" w:name="_GoBack"/>
        <w:bookmarkEnd w:id="0"/>
      </w:tr>
      <w:tr w:rsidR="00CF4153" w:rsidRPr="00841ECA" w:rsidTr="00CF4153">
        <w:trPr>
          <w:trHeight w:val="315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153" w:rsidRPr="007B0A95" w:rsidRDefault="00CF4153" w:rsidP="00B964D2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153" w:rsidRDefault="00CF4153" w:rsidP="00B964D2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F4153" w:rsidRPr="00841ECA" w:rsidTr="00CF4153">
        <w:trPr>
          <w:trHeight w:val="315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153" w:rsidRPr="007B0A95" w:rsidRDefault="00CF4153" w:rsidP="00B964D2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Epidemiology &amp; Biostatistics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153" w:rsidRDefault="00CF4153" w:rsidP="00B964D2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F4153" w:rsidRPr="00841ECA" w:rsidTr="00CF4153">
        <w:trPr>
          <w:trHeight w:val="315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153" w:rsidRPr="007B0A95" w:rsidRDefault="00CF4153" w:rsidP="00B964D2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Medical Biophysics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153" w:rsidRDefault="00CF4153" w:rsidP="00B964D2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F4153" w:rsidRPr="00841ECA" w:rsidTr="00CF4153">
        <w:trPr>
          <w:trHeight w:val="315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153" w:rsidRPr="007B0A95" w:rsidRDefault="00CF4153" w:rsidP="00B964D2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Microbiology &amp; Immunology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153" w:rsidRDefault="00CF4153" w:rsidP="00B964D2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F4153" w:rsidRPr="00841ECA" w:rsidTr="00CF4153">
        <w:trPr>
          <w:trHeight w:val="315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153" w:rsidRPr="007B0A95" w:rsidRDefault="00CF4153" w:rsidP="00B964D2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Neuroscience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153" w:rsidRDefault="00CF4153" w:rsidP="00B964D2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CF4153" w:rsidRPr="00841ECA" w:rsidTr="00CF4153">
        <w:trPr>
          <w:trHeight w:val="315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153" w:rsidRPr="007B0A95" w:rsidRDefault="00CF4153" w:rsidP="00B964D2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153" w:rsidRDefault="00CF4153" w:rsidP="00B964D2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CF4153" w:rsidRPr="00841ECA" w:rsidTr="00CF4153">
        <w:trPr>
          <w:trHeight w:val="315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153" w:rsidRPr="007B0A95" w:rsidRDefault="00CF4153" w:rsidP="00B964D2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Physiology &amp; Pharmacology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153" w:rsidRDefault="00CF4153" w:rsidP="00B964D2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F4153" w:rsidRPr="00841ECA" w:rsidTr="00CF4153">
        <w:trPr>
          <w:trHeight w:val="315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153" w:rsidRPr="007B0A95" w:rsidRDefault="00CF4153" w:rsidP="00B964D2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153" w:rsidRDefault="00CF4153" w:rsidP="00B964D2">
            <w:pPr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F4153" w:rsidRPr="00841ECA" w:rsidTr="00CF4153">
        <w:trPr>
          <w:trHeight w:val="330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153" w:rsidRPr="007B0A95" w:rsidRDefault="00CF4153" w:rsidP="00B964D2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Total Allocated to Programs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153" w:rsidRDefault="00CF4153" w:rsidP="00B964D2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62</w:t>
            </w:r>
          </w:p>
        </w:tc>
      </w:tr>
    </w:tbl>
    <w:p w:rsidR="00834B25" w:rsidRPr="008A71D4" w:rsidRDefault="002F2F06" w:rsidP="00834B25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="00834B25"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="00834B25"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9" w:history="1">
        <w:r w:rsidR="00834B25" w:rsidRPr="008A71D4">
          <w:rPr>
            <w:rStyle w:val="Hyperlink"/>
            <w:rFonts w:ascii="Calibri" w:hAnsi="Calibri" w:cs="Calibri"/>
            <w:sz w:val="22"/>
            <w:szCs w:val="22"/>
          </w:rPr>
          <w:t>https://grad.uwo.ca/faculty_staff/financial_support/ogs.html</w:t>
        </w:r>
      </w:hyperlink>
    </w:p>
    <w:p w:rsidR="003F5442" w:rsidRDefault="003F5442" w:rsidP="002028D9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</w:p>
    <w:p w:rsidR="00F3316D" w:rsidRDefault="00F3316D" w:rsidP="004C1A4B">
      <w:pPr>
        <w:pStyle w:val="Heading3"/>
        <w:rPr>
          <w:color w:val="4F2170"/>
          <w:sz w:val="28"/>
          <w:szCs w:val="28"/>
        </w:rPr>
      </w:pPr>
    </w:p>
    <w:p w:rsidR="00F3316D" w:rsidRPr="00F3316D" w:rsidRDefault="00F3316D" w:rsidP="00F3316D"/>
    <w:p w:rsidR="004C1A4B" w:rsidRPr="00870494" w:rsidRDefault="004C1A4B" w:rsidP="004C1A4B">
      <w:pPr>
        <w:pStyle w:val="Heading3"/>
        <w:rPr>
          <w:color w:val="4F2170"/>
          <w:sz w:val="28"/>
          <w:szCs w:val="28"/>
        </w:rPr>
      </w:pPr>
      <w:r w:rsidRPr="00870494">
        <w:rPr>
          <w:color w:val="4F2170"/>
          <w:sz w:val="28"/>
          <w:szCs w:val="28"/>
        </w:rPr>
        <w:lastRenderedPageBreak/>
        <w:t>Graduate Program Process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4C1A4B" w:rsidRPr="00286F2F" w:rsidRDefault="004C1A4B" w:rsidP="004C1A4B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</w:t>
      </w:r>
      <w:r w:rsidR="0095332F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These applications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status(es) in GradNet to Not Recommended.</w:t>
      </w:r>
    </w:p>
    <w:p w:rsidR="00C36B5B" w:rsidRDefault="004C1A4B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 </w:t>
      </w:r>
      <w:r w:rsidR="00C36B5B">
        <w:rPr>
          <w:rFonts w:ascii="Calibri" w:hAnsi="Calibri" w:cs="Calibri"/>
          <w:sz w:val="22"/>
          <w:szCs w:val="22"/>
        </w:rPr>
        <w:t xml:space="preserve">and rank </w:t>
      </w:r>
      <w:r>
        <w:rPr>
          <w:rFonts w:ascii="Calibri" w:hAnsi="Calibri" w:cs="Calibri"/>
          <w:sz w:val="22"/>
          <w:szCs w:val="22"/>
        </w:rPr>
        <w:t>all eligible applications initially in two separate pools (M</w:t>
      </w:r>
      <w:r w:rsidR="00C36B5B">
        <w:rPr>
          <w:rFonts w:ascii="Calibri" w:hAnsi="Calibri" w:cs="Calibri"/>
          <w:sz w:val="22"/>
          <w:szCs w:val="22"/>
        </w:rPr>
        <w:t>aster’s</w:t>
      </w:r>
      <w:r>
        <w:rPr>
          <w:rFonts w:ascii="Calibri" w:hAnsi="Calibri" w:cs="Calibri"/>
          <w:sz w:val="22"/>
          <w:szCs w:val="22"/>
        </w:rPr>
        <w:t xml:space="preserve"> and D</w:t>
      </w:r>
      <w:r w:rsidR="00C36B5B">
        <w:rPr>
          <w:rFonts w:ascii="Calibri" w:hAnsi="Calibri" w:cs="Calibri"/>
          <w:sz w:val="22"/>
          <w:szCs w:val="22"/>
        </w:rPr>
        <w:t>octoral</w:t>
      </w:r>
      <w:r>
        <w:rPr>
          <w:rFonts w:ascii="Calibri" w:hAnsi="Calibri" w:cs="Calibri"/>
          <w:sz w:val="22"/>
          <w:szCs w:val="22"/>
        </w:rPr>
        <w:t>)</w:t>
      </w:r>
      <w:r w:rsidR="00C36B5B">
        <w:rPr>
          <w:rFonts w:ascii="Calibri" w:hAnsi="Calibri" w:cs="Calibri"/>
          <w:sz w:val="22"/>
          <w:szCs w:val="22"/>
        </w:rPr>
        <w:t xml:space="preserve"> and then together in one blended pool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41988" w:rsidRPr="00141988" w:rsidRDefault="00C36B5B" w:rsidP="00141988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 w:rsidRPr="00141988">
        <w:rPr>
          <w:rFonts w:ascii="Calibri" w:hAnsi="Calibri" w:cs="Calibri"/>
          <w:sz w:val="22"/>
          <w:szCs w:val="22"/>
        </w:rPr>
        <w:t>P</w:t>
      </w:r>
      <w:r w:rsidR="00286F2F" w:rsidRPr="00141988">
        <w:rPr>
          <w:rFonts w:ascii="Calibri" w:hAnsi="Calibri" w:cs="Calibri"/>
          <w:sz w:val="22"/>
          <w:szCs w:val="22"/>
        </w:rPr>
        <w:t xml:space="preserve">roduce </w:t>
      </w:r>
      <w:r w:rsidR="004B5FB1" w:rsidRPr="00141988">
        <w:rPr>
          <w:rFonts w:ascii="Calibri" w:hAnsi="Calibri" w:cs="Calibri"/>
          <w:sz w:val="22"/>
          <w:szCs w:val="22"/>
        </w:rPr>
        <w:t xml:space="preserve">one (1) final blended </w:t>
      </w:r>
      <w:r w:rsidR="00052264" w:rsidRPr="00141988">
        <w:rPr>
          <w:rFonts w:ascii="Calibri" w:hAnsi="Calibri" w:cs="Calibri"/>
          <w:sz w:val="22"/>
          <w:szCs w:val="22"/>
        </w:rPr>
        <w:t xml:space="preserve">list </w:t>
      </w:r>
      <w:r w:rsidR="004B5FB1" w:rsidRPr="00141988">
        <w:rPr>
          <w:rFonts w:ascii="Calibri" w:hAnsi="Calibri" w:cs="Calibri"/>
          <w:sz w:val="22"/>
          <w:szCs w:val="22"/>
        </w:rPr>
        <w:t>(M</w:t>
      </w:r>
      <w:r w:rsidRPr="00141988">
        <w:rPr>
          <w:rFonts w:ascii="Calibri" w:hAnsi="Calibri" w:cs="Calibri"/>
          <w:sz w:val="22"/>
          <w:szCs w:val="22"/>
        </w:rPr>
        <w:t xml:space="preserve"> </w:t>
      </w:r>
      <w:r w:rsidR="004B5FB1" w:rsidRPr="00141988">
        <w:rPr>
          <w:rFonts w:ascii="Calibri" w:hAnsi="Calibri" w:cs="Calibri"/>
          <w:sz w:val="22"/>
          <w:szCs w:val="22"/>
        </w:rPr>
        <w:t xml:space="preserve">and D combined) </w:t>
      </w:r>
      <w:r w:rsidRPr="00141988">
        <w:rPr>
          <w:rFonts w:ascii="Calibri" w:hAnsi="Calibri" w:cs="Calibri"/>
          <w:sz w:val="22"/>
          <w:szCs w:val="22"/>
        </w:rPr>
        <w:t>of rank-ordered</w:t>
      </w:r>
      <w:r w:rsidR="00052264" w:rsidRPr="00141988">
        <w:rPr>
          <w:rFonts w:ascii="Calibri" w:hAnsi="Calibri" w:cs="Calibri"/>
          <w:sz w:val="22"/>
          <w:szCs w:val="22"/>
        </w:rPr>
        <w:t xml:space="preserve"> applications. </w:t>
      </w:r>
      <w:r w:rsidR="00052264" w:rsidRPr="00141988">
        <w:rPr>
          <w:rFonts w:ascii="Calibri" w:hAnsi="Calibri" w:cs="Calibri"/>
          <w:b/>
          <w:bCs/>
          <w:sz w:val="22"/>
          <w:szCs w:val="22"/>
        </w:rPr>
        <w:t>The number of recommended</w:t>
      </w:r>
      <w:r w:rsidR="00200DC4" w:rsidRPr="00141988">
        <w:rPr>
          <w:rFonts w:ascii="Calibri" w:hAnsi="Calibri" w:cs="Calibri"/>
          <w:b/>
          <w:bCs/>
          <w:sz w:val="22"/>
          <w:szCs w:val="22"/>
        </w:rPr>
        <w:t>, rank-ordered applications in the</w:t>
      </w:r>
      <w:r w:rsidR="00052264" w:rsidRPr="00141988">
        <w:rPr>
          <w:rFonts w:ascii="Calibri" w:hAnsi="Calibri" w:cs="Calibri"/>
          <w:b/>
          <w:bCs/>
          <w:sz w:val="22"/>
          <w:szCs w:val="22"/>
        </w:rPr>
        <w:t xml:space="preserve"> list will be no less than 2x </w:t>
      </w:r>
      <w:r w:rsidR="004B5FB1" w:rsidRPr="00141988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141988">
        <w:rPr>
          <w:rFonts w:ascii="Calibri" w:hAnsi="Calibri" w:cs="Calibri"/>
          <w:b/>
          <w:bCs/>
          <w:sz w:val="22"/>
          <w:szCs w:val="22"/>
        </w:rPr>
        <w:t xml:space="preserve">program’s </w:t>
      </w:r>
      <w:r w:rsidR="004B5FB1" w:rsidRPr="00141988">
        <w:rPr>
          <w:rFonts w:ascii="Calibri" w:hAnsi="Calibri" w:cs="Calibri"/>
          <w:b/>
          <w:bCs/>
          <w:sz w:val="22"/>
          <w:szCs w:val="22"/>
        </w:rPr>
        <w:t>total</w:t>
      </w:r>
      <w:r w:rsidR="00052264" w:rsidRPr="00141988">
        <w:rPr>
          <w:rFonts w:ascii="Calibri" w:hAnsi="Calibri" w:cs="Calibri"/>
          <w:b/>
          <w:bCs/>
          <w:sz w:val="22"/>
          <w:szCs w:val="22"/>
        </w:rPr>
        <w:t xml:space="preserve"> award allocation</w:t>
      </w:r>
      <w:r w:rsidR="00052264" w:rsidRPr="00141988">
        <w:rPr>
          <w:rFonts w:ascii="Calibri" w:hAnsi="Calibri" w:cs="Calibri"/>
          <w:sz w:val="22"/>
          <w:szCs w:val="22"/>
        </w:rPr>
        <w:t xml:space="preserve">. For example, with an allocation of </w:t>
      </w:r>
      <w:r w:rsidRPr="00141988">
        <w:rPr>
          <w:rFonts w:ascii="Calibri" w:hAnsi="Calibri" w:cs="Calibri"/>
          <w:sz w:val="22"/>
          <w:szCs w:val="22"/>
        </w:rPr>
        <w:t>5</w:t>
      </w:r>
      <w:r w:rsidR="00052264" w:rsidRPr="00141988">
        <w:rPr>
          <w:rFonts w:ascii="Calibri" w:hAnsi="Calibri" w:cs="Calibri"/>
          <w:sz w:val="22"/>
          <w:szCs w:val="22"/>
        </w:rPr>
        <w:t xml:space="preserve"> awards, the final list will have </w:t>
      </w:r>
      <w:r w:rsidR="00200DC4" w:rsidRPr="00141988">
        <w:rPr>
          <w:rFonts w:ascii="Calibri" w:hAnsi="Calibri" w:cs="Calibri"/>
          <w:sz w:val="22"/>
          <w:szCs w:val="22"/>
        </w:rPr>
        <w:t>at least</w:t>
      </w:r>
      <w:r w:rsidRPr="00141988">
        <w:rPr>
          <w:rFonts w:ascii="Calibri" w:hAnsi="Calibri" w:cs="Calibri"/>
          <w:sz w:val="22"/>
          <w:szCs w:val="22"/>
        </w:rPr>
        <w:t xml:space="preserve"> 1</w:t>
      </w:r>
      <w:r w:rsidR="00052264" w:rsidRPr="00141988">
        <w:rPr>
          <w:rFonts w:ascii="Calibri" w:hAnsi="Calibri" w:cs="Calibri"/>
          <w:sz w:val="22"/>
          <w:szCs w:val="22"/>
        </w:rPr>
        <w:t xml:space="preserve">0 rank-ordered applications. </w:t>
      </w:r>
    </w:p>
    <w:p w:rsidR="00281F2C" w:rsidRPr="00281F2C" w:rsidRDefault="0095332F" w:rsidP="00141988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 GradNet e</w:t>
      </w:r>
      <w:r w:rsidR="00141988" w:rsidRPr="00281F2C">
        <w:rPr>
          <w:rFonts w:ascii="Calibri" w:hAnsi="Calibri" w:cs="Calibri"/>
          <w:bCs/>
          <w:sz w:val="22"/>
          <w:szCs w:val="22"/>
        </w:rPr>
        <w:t xml:space="preserve">nter the ranks and update the status of ranked applications to </w:t>
      </w:r>
      <w:r w:rsidR="00141988" w:rsidRPr="00281F2C">
        <w:rPr>
          <w:rFonts w:ascii="Calibri" w:hAnsi="Calibri" w:cs="Calibri"/>
          <w:sz w:val="22"/>
          <w:szCs w:val="22"/>
        </w:rPr>
        <w:t>Recommended</w:t>
      </w:r>
      <w:r w:rsidR="00ED7312" w:rsidRPr="00ED7312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="00463E1E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F00181">
        <w:rPr>
          <w:rFonts w:ascii="Calibri" w:hAnsi="Calibri" w:cs="Calibri"/>
          <w:b/>
          <w:sz w:val="22"/>
          <w:szCs w:val="22"/>
        </w:rPr>
        <w:t>8</w:t>
      </w:r>
      <w:r w:rsidR="00463E1E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63E1E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F00181">
        <w:rPr>
          <w:rFonts w:ascii="Calibri" w:hAnsi="Calibri" w:cs="Calibri"/>
          <w:b/>
          <w:sz w:val="22"/>
          <w:szCs w:val="22"/>
        </w:rPr>
        <w:t>9</w:t>
      </w:r>
      <w:r w:rsidR="00463E1E">
        <w:rPr>
          <w:rFonts w:ascii="Calibri" w:hAnsi="Calibri" w:cs="Calibri"/>
          <w:b/>
          <w:sz w:val="22"/>
          <w:szCs w:val="22"/>
        </w:rPr>
        <w:t>.</w:t>
      </w:r>
    </w:p>
    <w:p w:rsidR="00141988" w:rsidRPr="00281F2C" w:rsidRDefault="00281F2C" w:rsidP="00141988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281F2C">
        <w:rPr>
          <w:rFonts w:ascii="Calibri" w:hAnsi="Calibri" w:cs="Calibri"/>
          <w:sz w:val="22"/>
          <w:szCs w:val="22"/>
        </w:rPr>
        <w:t>C</w:t>
      </w:r>
      <w:r w:rsidR="00141988" w:rsidRPr="00281F2C">
        <w:rPr>
          <w:rFonts w:ascii="Calibri" w:hAnsi="Calibri" w:cs="Calibri"/>
          <w:sz w:val="22"/>
          <w:szCs w:val="22"/>
        </w:rPr>
        <w:t>ommunicate the results to the Faculty Office by its internal deadline</w:t>
      </w:r>
      <w:r w:rsidR="00141988" w:rsidRPr="00281F2C">
        <w:rPr>
          <w:rFonts w:ascii="Calibri" w:hAnsi="Calibri" w:cs="Calibri"/>
          <w:b/>
          <w:sz w:val="22"/>
          <w:szCs w:val="22"/>
        </w:rPr>
        <w:t>.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:rsidR="00150DE7" w:rsidRPr="00286F2F" w:rsidRDefault="00150DE7" w:rsidP="00150DE7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GradNet to Not Recommended.</w:t>
      </w:r>
    </w:p>
    <w:p w:rsidR="00150DE7" w:rsidRDefault="00150DE7" w:rsidP="00150DE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0A7836">
        <w:rPr>
          <w:rFonts w:ascii="Calibri" w:hAnsi="Calibri" w:cs="Calibri"/>
          <w:sz w:val="22"/>
          <w:szCs w:val="22"/>
        </w:rPr>
        <w:t xml:space="preserve">Review applications </w:t>
      </w:r>
      <w:r>
        <w:rPr>
          <w:rFonts w:ascii="Calibri" w:hAnsi="Calibri" w:cs="Calibri"/>
          <w:sz w:val="22"/>
          <w:szCs w:val="22"/>
        </w:rPr>
        <w:t xml:space="preserve">in one blended pool </w:t>
      </w:r>
      <w:r w:rsidRPr="000A7836">
        <w:rPr>
          <w:rFonts w:ascii="Calibri" w:hAnsi="Calibri" w:cs="Calibri"/>
          <w:sz w:val="22"/>
          <w:szCs w:val="22"/>
        </w:rPr>
        <w:t>(M and D combined)</w:t>
      </w:r>
      <w:r>
        <w:rPr>
          <w:rFonts w:ascii="Calibri" w:hAnsi="Calibri" w:cs="Calibri"/>
          <w:sz w:val="22"/>
          <w:szCs w:val="22"/>
        </w:rPr>
        <w:t>.</w:t>
      </w:r>
    </w:p>
    <w:p w:rsidR="00150DE7" w:rsidRPr="00E1694A" w:rsidRDefault="00150DE7" w:rsidP="00150DE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270E1F">
        <w:rPr>
          <w:rFonts w:ascii="Calibri" w:hAnsi="Calibri" w:cs="Calibri"/>
          <w:sz w:val="22"/>
          <w:szCs w:val="22"/>
        </w:rPr>
        <w:t xml:space="preserve">If a Graduate Program is recommending more than </w:t>
      </w:r>
      <w:r>
        <w:rPr>
          <w:rFonts w:ascii="Calibri" w:hAnsi="Calibri" w:cs="Calibri"/>
          <w:sz w:val="22"/>
          <w:szCs w:val="22"/>
        </w:rPr>
        <w:t>two (</w:t>
      </w:r>
      <w:r w:rsidRPr="00270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270E1F">
        <w:rPr>
          <w:rFonts w:ascii="Calibri" w:hAnsi="Calibri" w:cs="Calibri"/>
          <w:sz w:val="22"/>
          <w:szCs w:val="22"/>
        </w:rPr>
        <w:t xml:space="preserve"> applications, then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 one (1) final </w:t>
      </w:r>
      <w:r w:rsidR="00B64AFE">
        <w:rPr>
          <w:rFonts w:asciiTheme="minorHAnsi" w:eastAsiaTheme="minorHAnsi" w:hAnsiTheme="minorHAnsi"/>
          <w:sz w:val="22"/>
          <w:szCs w:val="22"/>
        </w:rPr>
        <w:t xml:space="preserve">rank-ordered list 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must be </w:t>
      </w:r>
      <w:r>
        <w:rPr>
          <w:rFonts w:asciiTheme="minorHAnsi" w:eastAsiaTheme="minorHAnsi" w:hAnsiTheme="minorHAnsi"/>
          <w:sz w:val="22"/>
          <w:szCs w:val="22"/>
        </w:rPr>
        <w:t>produced.</w:t>
      </w:r>
    </w:p>
    <w:p w:rsidR="00150DE7" w:rsidRPr="000A7836" w:rsidRDefault="0095332F" w:rsidP="00150DE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In GradNet u</w:t>
      </w:r>
      <w:r w:rsidR="00150DE7"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150DE7"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="00150DE7" w:rsidRPr="000A7836">
        <w:rPr>
          <w:rFonts w:asciiTheme="minorHAnsi" w:eastAsiaTheme="minorHAnsi" w:hAnsiTheme="minorHAnsi"/>
          <w:sz w:val="22"/>
          <w:szCs w:val="22"/>
        </w:rPr>
        <w:t>to Recommended</w:t>
      </w:r>
      <w:r w:rsidR="00B63EB5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150DE7" w:rsidRPr="00E1694A" w:rsidRDefault="00281F2C" w:rsidP="00150DE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50DE7" w:rsidRPr="00E1694A">
        <w:rPr>
          <w:rFonts w:ascii="Calibri" w:hAnsi="Calibri" w:cs="Calibri"/>
          <w:sz w:val="22"/>
          <w:szCs w:val="22"/>
        </w:rPr>
        <w:t>ommunicate the results to the Faculty Office by its internal deadline</w:t>
      </w:r>
      <w:r w:rsidR="00150DE7" w:rsidRPr="00E1694A">
        <w:rPr>
          <w:rFonts w:ascii="Calibri" w:hAnsi="Calibri" w:cs="Calibri"/>
          <w:b/>
          <w:sz w:val="22"/>
          <w:szCs w:val="22"/>
        </w:rPr>
        <w:t>.</w:t>
      </w:r>
      <w:r w:rsidR="00150DE7" w:rsidRPr="00E1694A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ED7312" w:rsidRPr="00ED7312" w:rsidRDefault="00ED7312" w:rsidP="00ED7312">
      <w:pPr>
        <w:pStyle w:val="Heading3"/>
        <w:rPr>
          <w:color w:val="4F2170"/>
          <w:sz w:val="28"/>
          <w:szCs w:val="28"/>
        </w:rPr>
      </w:pPr>
      <w:r w:rsidRPr="00ED7312">
        <w:rPr>
          <w:color w:val="4F2170"/>
          <w:sz w:val="28"/>
          <w:szCs w:val="28"/>
        </w:rPr>
        <w:t>Faculty Committee Process</w:t>
      </w:r>
    </w:p>
    <w:p w:rsidR="003F5442" w:rsidRPr="003A0029" w:rsidRDefault="00ED7312" w:rsidP="003A0029">
      <w:pPr>
        <w:spacing w:before="200" w:after="200"/>
        <w:rPr>
          <w:rFonts w:ascii="Calibri" w:hAnsi="Calibri" w:cs="Calibri"/>
          <w:sz w:val="22"/>
          <w:szCs w:val="22"/>
        </w:rPr>
      </w:pPr>
      <w:r>
        <w:rPr>
          <w:b/>
          <w:color w:val="365F91" w:themeColor="accent1" w:themeShade="BF"/>
        </w:rPr>
        <w:t>I</w:t>
      </w:r>
      <w:r w:rsidR="003F5442" w:rsidRPr="003A0029">
        <w:rPr>
          <w:b/>
          <w:color w:val="365F91" w:themeColor="accent1" w:themeShade="BF"/>
        </w:rPr>
        <w:t>nternational Applications:</w:t>
      </w:r>
    </w:p>
    <w:p w:rsidR="003F5442" w:rsidRPr="000611F4" w:rsidRDefault="003F5442" w:rsidP="000611F4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3F5464">
        <w:rPr>
          <w:rFonts w:asciiTheme="minorHAnsi" w:hAnsiTheme="minorHAnsi"/>
          <w:sz w:val="22"/>
          <w:szCs w:val="22"/>
        </w:rPr>
        <w:t xml:space="preserve">In March, the Faculty Committee reviews all recommended applications from its graduate programs, and ultimately agrees on </w:t>
      </w:r>
      <w:r w:rsidRPr="003F5464">
        <w:rPr>
          <w:rFonts w:ascii="Calibri" w:hAnsi="Calibri" w:cs="Calibri"/>
          <w:sz w:val="22"/>
          <w:szCs w:val="22"/>
        </w:rPr>
        <w:t xml:space="preserve">one (1) final blended rank-ordered list (M and D combined). </w:t>
      </w:r>
      <w:r w:rsidR="003F5464">
        <w:rPr>
          <w:rFonts w:ascii="Calibri" w:hAnsi="Calibri" w:cs="Calibri"/>
          <w:sz w:val="22"/>
          <w:szCs w:val="22"/>
        </w:rPr>
        <w:t xml:space="preserve"> </w:t>
      </w:r>
      <w:r w:rsidR="003F5464" w:rsidRPr="003F5464">
        <w:rPr>
          <w:rFonts w:ascii="Calibri" w:hAnsi="Calibri" w:cs="Calibri"/>
          <w:sz w:val="22"/>
          <w:szCs w:val="22"/>
        </w:rPr>
        <w:t>Up to three (3) applications may be submitted.</w:t>
      </w:r>
    </w:p>
    <w:p w:rsidR="003A0029" w:rsidRPr="00F44524" w:rsidRDefault="003A0029" w:rsidP="003A0029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Pr="0063557E">
        <w:rPr>
          <w:rFonts w:ascii="Calibri" w:hAnsi="Calibri" w:cs="Calibri"/>
          <w:sz w:val="22"/>
          <w:szCs w:val="22"/>
        </w:rPr>
        <w:t xml:space="preserve">to </w:t>
      </w:r>
      <w:hyperlink r:id="rId10" w:history="1"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  <w:r w:rsidRPr="00047776">
        <w:rPr>
          <w:rFonts w:ascii="Calibri" w:hAnsi="Calibri" w:cs="Calibri"/>
          <w:b/>
          <w:sz w:val="22"/>
          <w:szCs w:val="22"/>
        </w:rPr>
        <w:t xml:space="preserve">by </w:t>
      </w:r>
      <w:r w:rsidR="00463E1E">
        <w:rPr>
          <w:rFonts w:ascii="Calibri" w:hAnsi="Calibri" w:cs="Calibri"/>
          <w:b/>
          <w:sz w:val="22"/>
          <w:szCs w:val="22"/>
        </w:rPr>
        <w:t>Monday</w:t>
      </w:r>
      <w:r w:rsidR="00463E1E" w:rsidRPr="00047776">
        <w:rPr>
          <w:rFonts w:ascii="Calibri" w:hAnsi="Calibri" w:cs="Calibri"/>
          <w:b/>
          <w:sz w:val="22"/>
          <w:szCs w:val="22"/>
        </w:rPr>
        <w:t>, March</w:t>
      </w:r>
      <w:r w:rsidR="00463E1E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463E1E">
        <w:rPr>
          <w:rFonts w:ascii="Calibri" w:hAnsi="Calibri" w:cs="Calibri"/>
          <w:b/>
          <w:sz w:val="22"/>
          <w:szCs w:val="22"/>
        </w:rPr>
        <w:t>1</w:t>
      </w:r>
      <w:r w:rsidR="00F00181">
        <w:rPr>
          <w:rFonts w:ascii="Calibri" w:hAnsi="Calibri" w:cs="Calibri"/>
          <w:b/>
          <w:sz w:val="22"/>
          <w:szCs w:val="22"/>
        </w:rPr>
        <w:t>8</w:t>
      </w:r>
      <w:r w:rsidR="00463E1E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63E1E">
        <w:rPr>
          <w:rFonts w:ascii="Calibri" w:hAnsi="Calibri" w:cs="Calibri"/>
          <w:b/>
          <w:sz w:val="22"/>
          <w:szCs w:val="22"/>
        </w:rPr>
        <w:t xml:space="preserve">, </w:t>
      </w:r>
      <w:r w:rsidR="00463E1E" w:rsidRPr="00047776">
        <w:rPr>
          <w:rFonts w:ascii="Calibri" w:hAnsi="Calibri" w:cs="Calibri"/>
          <w:b/>
          <w:sz w:val="22"/>
          <w:szCs w:val="22"/>
        </w:rPr>
        <w:t>201</w:t>
      </w:r>
      <w:r w:rsidR="00F00181">
        <w:rPr>
          <w:rFonts w:ascii="Calibri" w:hAnsi="Calibri" w:cs="Calibri"/>
          <w:b/>
          <w:sz w:val="22"/>
          <w:szCs w:val="22"/>
        </w:rPr>
        <w:t>9</w:t>
      </w:r>
      <w:r w:rsidR="00463E1E" w:rsidRPr="00047776">
        <w:rPr>
          <w:rFonts w:ascii="Calibri" w:hAnsi="Calibri" w:cs="Calibri"/>
          <w:b/>
          <w:sz w:val="22"/>
          <w:szCs w:val="22"/>
        </w:rPr>
        <w:t>.</w:t>
      </w:r>
    </w:p>
    <w:p w:rsidR="003F5442" w:rsidRPr="00F3316D" w:rsidRDefault="003A0029" w:rsidP="003A0029">
      <w:pPr>
        <w:pStyle w:val="ListParagraph"/>
        <w:numPr>
          <w:ilvl w:val="0"/>
          <w:numId w:val="13"/>
        </w:numPr>
        <w:autoSpaceDE/>
        <w:autoSpaceDN/>
        <w:spacing w:before="200" w:after="200"/>
        <w:outlineLvl w:val="1"/>
        <w:rPr>
          <w:rFonts w:ascii="Calibri" w:hAnsi="Calibri" w:cs="Calibri"/>
          <w:b/>
          <w:sz w:val="22"/>
          <w:szCs w:val="22"/>
        </w:rPr>
      </w:pPr>
      <w:r w:rsidRPr="00F3316D"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at the Associate Dean’s meeting </w:t>
      </w:r>
      <w:r w:rsidR="003F5464" w:rsidRPr="00F3316D">
        <w:rPr>
          <w:rFonts w:asciiTheme="minorHAnsi" w:eastAsiaTheme="minorHAnsi" w:hAnsiTheme="minorHAnsi"/>
          <w:sz w:val="22"/>
          <w:szCs w:val="22"/>
        </w:rPr>
        <w:t>i</w:t>
      </w:r>
      <w:r w:rsidRPr="00F3316D">
        <w:rPr>
          <w:rFonts w:asciiTheme="minorHAnsi" w:eastAsiaTheme="minorHAnsi" w:hAnsiTheme="minorHAnsi"/>
          <w:sz w:val="22"/>
          <w:szCs w:val="22"/>
        </w:rPr>
        <w:t xml:space="preserve">n April </w:t>
      </w:r>
      <w:r w:rsidR="00463E1E" w:rsidRPr="00F3316D">
        <w:rPr>
          <w:rFonts w:asciiTheme="minorHAnsi" w:eastAsiaTheme="minorHAnsi" w:hAnsiTheme="minorHAnsi"/>
          <w:sz w:val="22"/>
          <w:szCs w:val="22"/>
        </w:rPr>
        <w:t>201</w:t>
      </w:r>
      <w:r w:rsidR="00F00181">
        <w:rPr>
          <w:rFonts w:asciiTheme="minorHAnsi" w:eastAsiaTheme="minorHAnsi" w:hAnsiTheme="minorHAnsi"/>
          <w:sz w:val="22"/>
          <w:szCs w:val="22"/>
        </w:rPr>
        <w:t>9</w:t>
      </w:r>
      <w:r w:rsidR="00463E1E" w:rsidRPr="00F3316D">
        <w:rPr>
          <w:rFonts w:asciiTheme="minorHAnsi" w:eastAsiaTheme="minorHAnsi" w:hAnsiTheme="minorHAnsi"/>
          <w:sz w:val="22"/>
          <w:szCs w:val="22"/>
        </w:rPr>
        <w:t>.</w:t>
      </w:r>
    </w:p>
    <w:sectPr w:rsidR="003F5442" w:rsidRPr="00F3316D" w:rsidSect="008A71D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9F" w:rsidRDefault="00A6789F" w:rsidP="008A71D4">
      <w:r>
        <w:separator/>
      </w:r>
    </w:p>
  </w:endnote>
  <w:endnote w:type="continuationSeparator" w:id="0">
    <w:p w:rsidR="00A6789F" w:rsidRDefault="00A6789F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9"/>
      <w:docPartObj>
        <w:docPartGallery w:val="Page Numbers (Bottom of Page)"/>
        <w:docPartUnique/>
      </w:docPartObj>
    </w:sdtPr>
    <w:sdtEndPr/>
    <w:sdtContent>
      <w:p w:rsidR="003A0029" w:rsidRDefault="008D6046">
        <w:pPr>
          <w:pStyle w:val="Footer"/>
          <w:jc w:val="right"/>
        </w:pPr>
        <w:r>
          <w:fldChar w:fldCharType="begin"/>
        </w:r>
        <w:r w:rsidR="00EB7E4B">
          <w:instrText xml:space="preserve"> PAGE   \* MERGEFORMAT </w:instrText>
        </w:r>
        <w:r>
          <w:fldChar w:fldCharType="separate"/>
        </w:r>
        <w:r w:rsidR="00CF4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029" w:rsidRDefault="003A0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9F" w:rsidRDefault="00A6789F" w:rsidP="008A71D4">
      <w:r>
        <w:separator/>
      </w:r>
    </w:p>
  </w:footnote>
  <w:footnote w:type="continuationSeparator" w:id="0">
    <w:p w:rsidR="00A6789F" w:rsidRDefault="00A6789F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29" w:rsidRPr="008A71D4" w:rsidRDefault="003A0029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9F233B"/>
    <w:multiLevelType w:val="hybridMultilevel"/>
    <w:tmpl w:val="8B1C1360"/>
    <w:lvl w:ilvl="0" w:tplc="CDA48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896E68"/>
    <w:multiLevelType w:val="hybridMultilevel"/>
    <w:tmpl w:val="848C64BA"/>
    <w:lvl w:ilvl="0" w:tplc="B1ACB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42826"/>
    <w:multiLevelType w:val="multilevel"/>
    <w:tmpl w:val="7B48D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A41CE6"/>
    <w:multiLevelType w:val="hybridMultilevel"/>
    <w:tmpl w:val="C58635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BB0AA6"/>
    <w:multiLevelType w:val="multilevel"/>
    <w:tmpl w:val="BEA8E50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>
    <w:nsid w:val="5F8F459D"/>
    <w:multiLevelType w:val="multilevel"/>
    <w:tmpl w:val="4864B3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2582472"/>
    <w:multiLevelType w:val="hybridMultilevel"/>
    <w:tmpl w:val="077093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4"/>
  </w:num>
  <w:num w:numId="5">
    <w:abstractNumId w:val="20"/>
  </w:num>
  <w:num w:numId="6">
    <w:abstractNumId w:val="14"/>
  </w:num>
  <w:num w:numId="7">
    <w:abstractNumId w:val="9"/>
  </w:num>
  <w:num w:numId="8">
    <w:abstractNumId w:val="8"/>
  </w:num>
  <w:num w:numId="9">
    <w:abstractNumId w:val="0"/>
  </w:num>
  <w:num w:numId="10">
    <w:abstractNumId w:val="13"/>
  </w:num>
  <w:num w:numId="11">
    <w:abstractNumId w:val="15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19"/>
  </w:num>
  <w:num w:numId="17">
    <w:abstractNumId w:val="11"/>
  </w:num>
  <w:num w:numId="18">
    <w:abstractNumId w:val="5"/>
  </w:num>
  <w:num w:numId="19">
    <w:abstractNumId w:val="3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52264"/>
    <w:rsid w:val="00056608"/>
    <w:rsid w:val="0005797F"/>
    <w:rsid w:val="000611F4"/>
    <w:rsid w:val="0006598F"/>
    <w:rsid w:val="000B0157"/>
    <w:rsid w:val="000F4DA3"/>
    <w:rsid w:val="00141988"/>
    <w:rsid w:val="00150DE7"/>
    <w:rsid w:val="0015316C"/>
    <w:rsid w:val="00156927"/>
    <w:rsid w:val="00166703"/>
    <w:rsid w:val="001B3180"/>
    <w:rsid w:val="001C6B68"/>
    <w:rsid w:val="001D387B"/>
    <w:rsid w:val="001E4F3E"/>
    <w:rsid w:val="001F599B"/>
    <w:rsid w:val="00200DC4"/>
    <w:rsid w:val="002025A8"/>
    <w:rsid w:val="002028D9"/>
    <w:rsid w:val="00226A6D"/>
    <w:rsid w:val="002716EB"/>
    <w:rsid w:val="00281F2C"/>
    <w:rsid w:val="00286F2F"/>
    <w:rsid w:val="002F2F06"/>
    <w:rsid w:val="003140F0"/>
    <w:rsid w:val="00314E65"/>
    <w:rsid w:val="00366802"/>
    <w:rsid w:val="003671F0"/>
    <w:rsid w:val="003A0029"/>
    <w:rsid w:val="003F5442"/>
    <w:rsid w:val="003F5464"/>
    <w:rsid w:val="00463E1E"/>
    <w:rsid w:val="00486CAB"/>
    <w:rsid w:val="00491AF4"/>
    <w:rsid w:val="004B5FB1"/>
    <w:rsid w:val="004C1A4B"/>
    <w:rsid w:val="004D0F89"/>
    <w:rsid w:val="00530533"/>
    <w:rsid w:val="005316F4"/>
    <w:rsid w:val="00551A19"/>
    <w:rsid w:val="005532CE"/>
    <w:rsid w:val="00563DBA"/>
    <w:rsid w:val="00576A55"/>
    <w:rsid w:val="005A48B9"/>
    <w:rsid w:val="005C6439"/>
    <w:rsid w:val="005D69B6"/>
    <w:rsid w:val="00640C9D"/>
    <w:rsid w:val="006C160F"/>
    <w:rsid w:val="00700945"/>
    <w:rsid w:val="007467FC"/>
    <w:rsid w:val="007536D0"/>
    <w:rsid w:val="00776EC7"/>
    <w:rsid w:val="00796EC4"/>
    <w:rsid w:val="007A7DDC"/>
    <w:rsid w:val="007B0A95"/>
    <w:rsid w:val="008106ED"/>
    <w:rsid w:val="00834B25"/>
    <w:rsid w:val="00841ECA"/>
    <w:rsid w:val="008A71D4"/>
    <w:rsid w:val="008D13ED"/>
    <w:rsid w:val="008D6046"/>
    <w:rsid w:val="009361D9"/>
    <w:rsid w:val="0095332F"/>
    <w:rsid w:val="00954863"/>
    <w:rsid w:val="00984958"/>
    <w:rsid w:val="009A3751"/>
    <w:rsid w:val="009C690C"/>
    <w:rsid w:val="009E76C0"/>
    <w:rsid w:val="00A6789F"/>
    <w:rsid w:val="00AF0857"/>
    <w:rsid w:val="00B10C82"/>
    <w:rsid w:val="00B148FE"/>
    <w:rsid w:val="00B41C3F"/>
    <w:rsid w:val="00B63EB5"/>
    <w:rsid w:val="00B64AFE"/>
    <w:rsid w:val="00B7063A"/>
    <w:rsid w:val="00BB46C3"/>
    <w:rsid w:val="00BE27F2"/>
    <w:rsid w:val="00BF5D41"/>
    <w:rsid w:val="00C20BD8"/>
    <w:rsid w:val="00C338B9"/>
    <w:rsid w:val="00C36B5B"/>
    <w:rsid w:val="00C94358"/>
    <w:rsid w:val="00CB7760"/>
    <w:rsid w:val="00CF4153"/>
    <w:rsid w:val="00D26F04"/>
    <w:rsid w:val="00D34DCF"/>
    <w:rsid w:val="00D42C02"/>
    <w:rsid w:val="00DA609E"/>
    <w:rsid w:val="00DA70E0"/>
    <w:rsid w:val="00DC34CA"/>
    <w:rsid w:val="00E11E74"/>
    <w:rsid w:val="00EB3295"/>
    <w:rsid w:val="00EB7E4B"/>
    <w:rsid w:val="00EC19B3"/>
    <w:rsid w:val="00ED7312"/>
    <w:rsid w:val="00EF1BD5"/>
    <w:rsid w:val="00F00181"/>
    <w:rsid w:val="00F20174"/>
    <w:rsid w:val="00F3316D"/>
    <w:rsid w:val="00F92A51"/>
    <w:rsid w:val="00FA1CD2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aley2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d.uwo.ca/faculty_staff/financial_support/og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B184-E96A-4CFE-B31E-C8B5AC34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Schulich School of Medicine &amp; Dentistry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2</cp:revision>
  <cp:lastPrinted>2014-01-24T21:22:00Z</cp:lastPrinted>
  <dcterms:created xsi:type="dcterms:W3CDTF">2018-12-18T14:11:00Z</dcterms:created>
  <dcterms:modified xsi:type="dcterms:W3CDTF">2018-12-18T14:11:00Z</dcterms:modified>
</cp:coreProperties>
</file>