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0D8B" w14:textId="77777777" w:rsidR="003F5442" w:rsidRDefault="003F5442">
      <w:pPr>
        <w:spacing w:after="200"/>
        <w:rPr>
          <w:rFonts w:cs="Times New Roman"/>
          <w:b/>
          <w:bCs/>
          <w:color w:val="4F2170"/>
          <w:sz w:val="32"/>
          <w:szCs w:val="32"/>
        </w:rPr>
      </w:pPr>
    </w:p>
    <w:p w14:paraId="71B3745F" w14:textId="77777777" w:rsidR="00052264" w:rsidRPr="00901934" w:rsidRDefault="00E061BD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901934">
        <w:rPr>
          <w:rFonts w:cs="Times New Roman"/>
          <w:b/>
          <w:bCs/>
          <w:color w:val="4F2170"/>
          <w:sz w:val="36"/>
          <w:szCs w:val="36"/>
        </w:rPr>
        <w:t>Faculty of Engineering</w:t>
      </w:r>
    </w:p>
    <w:p w14:paraId="0C84496A" w14:textId="1D6C8917" w:rsidR="00052264" w:rsidRPr="00423B24" w:rsidRDefault="00834B25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061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665CFA" w:rsidRPr="00665CFA">
        <w:rPr>
          <w:b/>
          <w:sz w:val="22"/>
          <w:szCs w:val="22"/>
        </w:rPr>
        <w:t>32</w:t>
      </w:r>
      <w:r w:rsidR="00D42C02" w:rsidRPr="00665CFA">
        <w:rPr>
          <w:b/>
          <w:sz w:val="22"/>
          <w:szCs w:val="22"/>
        </w:rPr>
        <w:t xml:space="preserve"> </w:t>
      </w:r>
      <w:r w:rsidR="004E4A5B" w:rsidRPr="00665CFA">
        <w:rPr>
          <w:b/>
          <w:sz w:val="22"/>
          <w:szCs w:val="22"/>
        </w:rPr>
        <w:t>a</w:t>
      </w:r>
      <w:r w:rsidR="004E4A5B" w:rsidRPr="00AA27E2">
        <w:rPr>
          <w:b/>
          <w:sz w:val="22"/>
          <w:szCs w:val="22"/>
        </w:rPr>
        <w:t>wards</w:t>
      </w:r>
      <w:r w:rsidR="004E4A5B">
        <w:rPr>
          <w:b/>
          <w:sz w:val="22"/>
          <w:szCs w:val="22"/>
        </w:rPr>
        <w:t xml:space="preserve">. </w:t>
      </w:r>
      <w:r w:rsidR="004E4A5B" w:rsidRPr="00841B3B">
        <w:rPr>
          <w:sz w:val="22"/>
          <w:szCs w:val="22"/>
        </w:rPr>
        <w:t xml:space="preserve">This represents a combined allocation of Ontario Graduate Scholarships </w:t>
      </w:r>
      <w:r w:rsidR="004E4A5B" w:rsidRPr="00270E1F">
        <w:rPr>
          <w:rFonts w:asciiTheme="minorHAnsi" w:hAnsiTheme="minorHAnsi"/>
          <w:sz w:val="22"/>
          <w:szCs w:val="22"/>
        </w:rPr>
        <w:t>(OGS) and Queen Elizabeth II Graduate Scholarships in Science and Technology (QEII). Both will be referred to in this document as OGS.</w:t>
      </w:r>
    </w:p>
    <w:p w14:paraId="48AA8151" w14:textId="7D0307BA" w:rsidR="00423B24" w:rsidRPr="00423B24" w:rsidRDefault="00423B24" w:rsidP="00423B2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3B24">
        <w:rPr>
          <w:rFonts w:ascii="Calibri" w:hAnsi="Calibri" w:cs="Calibri"/>
          <w:sz w:val="22"/>
          <w:szCs w:val="22"/>
        </w:rPr>
        <w:t xml:space="preserve">The Faculty has reserved </w:t>
      </w:r>
      <w:r w:rsidR="00B204A0">
        <w:rPr>
          <w:rFonts w:ascii="Calibri" w:hAnsi="Calibri" w:cs="Calibri"/>
          <w:b/>
          <w:sz w:val="22"/>
          <w:szCs w:val="22"/>
        </w:rPr>
        <w:t>1</w:t>
      </w:r>
      <w:r w:rsidRPr="00423B24">
        <w:rPr>
          <w:rFonts w:ascii="Calibri" w:hAnsi="Calibri" w:cs="Calibri"/>
          <w:b/>
          <w:sz w:val="22"/>
          <w:szCs w:val="22"/>
        </w:rPr>
        <w:t xml:space="preserve"> award</w:t>
      </w:r>
      <w:r w:rsidRPr="00423B24">
        <w:rPr>
          <w:rFonts w:ascii="Calibri" w:hAnsi="Calibri" w:cs="Calibri"/>
          <w:sz w:val="22"/>
          <w:szCs w:val="22"/>
        </w:rPr>
        <w:t xml:space="preserve"> as the Associate Dean’s Recruitment Award.  </w:t>
      </w:r>
      <w:r w:rsidR="00B204A0">
        <w:rPr>
          <w:rFonts w:ascii="Calibri" w:hAnsi="Calibri" w:cs="Calibri"/>
          <w:sz w:val="22"/>
          <w:szCs w:val="22"/>
        </w:rPr>
        <w:t>This</w:t>
      </w:r>
      <w:r w:rsidRPr="00423B24">
        <w:rPr>
          <w:rFonts w:ascii="Calibri" w:hAnsi="Calibri" w:cs="Calibri"/>
          <w:sz w:val="22"/>
          <w:szCs w:val="22"/>
        </w:rPr>
        <w:t xml:space="preserve"> award </w:t>
      </w:r>
      <w:r>
        <w:rPr>
          <w:rFonts w:ascii="Calibri" w:hAnsi="Calibri" w:cs="Calibri"/>
          <w:sz w:val="22"/>
          <w:szCs w:val="22"/>
        </w:rPr>
        <w:t xml:space="preserve">will be </w:t>
      </w:r>
      <w:r w:rsidRPr="00423B24">
        <w:rPr>
          <w:rFonts w:ascii="Calibri" w:hAnsi="Calibri" w:cs="Calibri"/>
          <w:sz w:val="22"/>
          <w:szCs w:val="22"/>
        </w:rPr>
        <w:t xml:space="preserve">awarded to </w:t>
      </w:r>
      <w:r w:rsidR="00B204A0">
        <w:rPr>
          <w:rFonts w:ascii="Calibri" w:hAnsi="Calibri" w:cs="Calibri"/>
          <w:sz w:val="22"/>
          <w:szCs w:val="22"/>
        </w:rPr>
        <w:t xml:space="preserve">an </w:t>
      </w:r>
      <w:r w:rsidRPr="00423B24">
        <w:rPr>
          <w:rFonts w:ascii="Calibri" w:hAnsi="Calibri" w:cs="Calibri"/>
          <w:sz w:val="22"/>
          <w:szCs w:val="22"/>
        </w:rPr>
        <w:t>outstandin</w:t>
      </w:r>
      <w:r w:rsidR="00B204A0">
        <w:rPr>
          <w:rFonts w:ascii="Calibri" w:hAnsi="Calibri" w:cs="Calibri"/>
          <w:sz w:val="22"/>
          <w:szCs w:val="22"/>
        </w:rPr>
        <w:t>g new incoming graduate student</w:t>
      </w:r>
      <w:r>
        <w:rPr>
          <w:rFonts w:ascii="Calibri" w:hAnsi="Calibri" w:cs="Calibri"/>
          <w:sz w:val="22"/>
          <w:szCs w:val="22"/>
        </w:rPr>
        <w:t xml:space="preserve"> as recommended by the program.</w:t>
      </w:r>
    </w:p>
    <w:p w14:paraId="4412011E" w14:textId="77777777" w:rsidR="00423B24" w:rsidRDefault="00423B24" w:rsidP="00423B24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939F4AF" w14:textId="49714447" w:rsidR="00423B24" w:rsidRPr="00423B24" w:rsidRDefault="004A7C49" w:rsidP="00423B2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A7C49">
        <w:rPr>
          <w:rFonts w:ascii="Calibri" w:hAnsi="Calibri" w:cs="Calibri"/>
          <w:sz w:val="22"/>
          <w:szCs w:val="22"/>
        </w:rPr>
        <w:t>Up to 25% (or more) OGS awards within the Faculty must be awarded to new incoming graduate students.</w:t>
      </w:r>
    </w:p>
    <w:p w14:paraId="2929F390" w14:textId="77777777" w:rsidR="00947A5D" w:rsidRPr="00947A5D" w:rsidRDefault="00947A5D" w:rsidP="00947A5D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594168E2" w14:textId="77777777" w:rsidR="00A1291D" w:rsidRDefault="00A1291D" w:rsidP="00A1291D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E061BD">
        <w:rPr>
          <w:sz w:val="22"/>
          <w:szCs w:val="22"/>
        </w:rPr>
        <w:t xml:space="preserve">The </w:t>
      </w:r>
      <w:r>
        <w:rPr>
          <w:sz w:val="22"/>
          <w:szCs w:val="22"/>
        </w:rPr>
        <w:t>Faculty</w:t>
      </w:r>
      <w:r w:rsidRPr="00E061BD">
        <w:rPr>
          <w:sz w:val="22"/>
          <w:szCs w:val="22"/>
        </w:rPr>
        <w:t xml:space="preserve">’s allocation of awards has been proportionally distributed to the graduate programs based on ratios </w:t>
      </w:r>
      <w:r>
        <w:rPr>
          <w:sz w:val="22"/>
          <w:szCs w:val="22"/>
        </w:rPr>
        <w:t>of domestic graduate (research) students.</w:t>
      </w:r>
    </w:p>
    <w:p w14:paraId="236CF4D3" w14:textId="7874EC56" w:rsidR="00A1291D" w:rsidRDefault="00A1291D" w:rsidP="00A1291D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6628E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>following Engineering graduate programs are not eligible to receive OGS:</w:t>
      </w:r>
    </w:p>
    <w:p w14:paraId="25F8F84E" w14:textId="1E79AF8C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Chemical and Biochemical Engineering - Master of Engineering </w:t>
      </w:r>
    </w:p>
    <w:p w14:paraId="5B5A7DE9" w14:textId="104D0831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Civil and Environmental Engineering – Master of Engineering</w:t>
      </w:r>
    </w:p>
    <w:p w14:paraId="399D289D" w14:textId="08C01334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Electrical and Computer Engineering – Master of Engineering</w:t>
      </w:r>
    </w:p>
    <w:p w14:paraId="7F30A893" w14:textId="15BD1B29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Mechanical and Materials Engineering – Master of Engineering</w:t>
      </w:r>
    </w:p>
    <w:p w14:paraId="75C7FBD3" w14:textId="77777777" w:rsidR="00A1291D" w:rsidRDefault="00A1291D" w:rsidP="00A1291D">
      <w:pPr>
        <w:pStyle w:val="ListParagraph"/>
        <w:rPr>
          <w:sz w:val="22"/>
          <w:szCs w:val="22"/>
        </w:rPr>
      </w:pPr>
    </w:p>
    <w:p w14:paraId="284B4158" w14:textId="77777777" w:rsidR="00834B25" w:rsidRPr="00E061BD" w:rsidRDefault="00E061BD" w:rsidP="00834B25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bCs/>
          <w:sz w:val="22"/>
          <w:szCs w:val="22"/>
        </w:rPr>
        <w:t>The awards have been allocated to the Faculty’s graduate programs as follows:</w:t>
      </w:r>
    </w:p>
    <w:tbl>
      <w:tblPr>
        <w:tblW w:w="4696" w:type="dxa"/>
        <w:tblInd w:w="1380" w:type="dxa"/>
        <w:tblLook w:val="04A0" w:firstRow="1" w:lastRow="0" w:firstColumn="1" w:lastColumn="0" w:noHBand="0" w:noVBand="1"/>
      </w:tblPr>
      <w:tblGrid>
        <w:gridCol w:w="3520"/>
        <w:gridCol w:w="1176"/>
      </w:tblGrid>
      <w:tr w:rsidR="00BF3F00" w:rsidRPr="00A60B10" w14:paraId="2EA9D464" w14:textId="1C63D0C2" w:rsidTr="00BF3F0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A84" w14:textId="77777777" w:rsidR="00BF3F00" w:rsidRPr="00901934" w:rsidRDefault="00BF3F00" w:rsidP="00A60B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555A" w14:textId="430FC704" w:rsidR="00BF3F00" w:rsidRDefault="00BF3F00" w:rsidP="00A60B1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2018-2019</w:t>
            </w:r>
          </w:p>
        </w:tc>
      </w:tr>
      <w:tr w:rsidR="00BF3F00" w14:paraId="7CF71CED" w14:textId="57734459" w:rsidTr="00BF3F0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C91" w14:textId="77777777" w:rsidR="00BF3F00" w:rsidRPr="00901934" w:rsidRDefault="00BF3F00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Biomedical Engineering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DE53" w14:textId="78F33B55" w:rsidR="00BF3F00" w:rsidRDefault="00BF3F00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F3F00" w14:paraId="4ABA5F5D" w14:textId="548B07BE" w:rsidTr="00BF3F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49D" w14:textId="77777777" w:rsidR="00BF3F00" w:rsidRPr="00901934" w:rsidRDefault="00BF3F00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Chemical &amp; Biochemical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EBF2" w14:textId="6DF2E69B" w:rsidR="00BF3F00" w:rsidRDefault="00BF3F00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F3F00" w14:paraId="19D1A6BF" w14:textId="5BCCA0A4" w:rsidTr="00BF3F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B33" w14:textId="77777777" w:rsidR="00BF3F00" w:rsidRPr="00901934" w:rsidRDefault="00BF3F00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Civil &amp; Environmental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ABFD" w14:textId="2B784330" w:rsidR="00BF3F00" w:rsidRDefault="00BF3F00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bookmarkStart w:id="0" w:name="_GoBack"/>
        <w:bookmarkEnd w:id="0"/>
      </w:tr>
      <w:tr w:rsidR="00BF3F00" w14:paraId="43F543E6" w14:textId="1041DEC8" w:rsidTr="00BF3F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B35" w14:textId="77777777" w:rsidR="00BF3F00" w:rsidRPr="00901934" w:rsidRDefault="00BF3F00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847" w14:textId="35072419" w:rsidR="00BF3F00" w:rsidRDefault="00BF3F00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3F00" w14:paraId="75C2C9FF" w14:textId="56A3696B" w:rsidTr="00BF3F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A70C" w14:textId="77777777" w:rsidR="00BF3F00" w:rsidRPr="00901934" w:rsidRDefault="00BF3F00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Mechanical &amp; Materials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0E9A" w14:textId="75AA8201" w:rsidR="00BF3F00" w:rsidRDefault="00BF3F00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3F00" w14:paraId="234AAB3A" w14:textId="410D16E4" w:rsidTr="00BF3F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2762" w14:textId="77777777" w:rsidR="00BF3F00" w:rsidRPr="00901934" w:rsidRDefault="00BF3F00" w:rsidP="00E06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Dean’s Office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06B7" w14:textId="2BDBA604" w:rsidR="00BF3F00" w:rsidRDefault="00BF3F00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F3F00" w14:paraId="721A9E58" w14:textId="1CF264D0" w:rsidTr="00BF3F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EE6" w14:textId="77777777" w:rsidR="00BF3F00" w:rsidRPr="007D6D81" w:rsidRDefault="00BF3F00" w:rsidP="0002429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D6D81">
              <w:rPr>
                <w:rFonts w:ascii="Calibri" w:hAnsi="Calibri"/>
                <w:b/>
                <w:color w:val="000000"/>
              </w:rPr>
              <w:t>Total Allocat</w:t>
            </w:r>
            <w:r>
              <w:rPr>
                <w:rFonts w:ascii="Calibri" w:hAnsi="Calibri"/>
                <w:b/>
                <w:color w:val="000000"/>
              </w:rPr>
              <w:t>ed to Programs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3A3C" w14:textId="67D4014F" w:rsidR="00BF3F00" w:rsidRDefault="00BF3F00" w:rsidP="00E00C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</w:t>
            </w:r>
          </w:p>
        </w:tc>
      </w:tr>
    </w:tbl>
    <w:p w14:paraId="023991FB" w14:textId="77777777" w:rsidR="00834B25" w:rsidRPr="008A71D4" w:rsidRDefault="002F2F06" w:rsidP="00834B25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https://grad.uwo.ca/faculty_staff/financial_support/ogs.html</w:t>
        </w:r>
      </w:hyperlink>
    </w:p>
    <w:p w14:paraId="75A1EEF8" w14:textId="77777777" w:rsidR="003F5442" w:rsidRDefault="00BF3F00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 w14:anchorId="006846E1">
          <v:rect id="_x0000_i1025" style="width:0;height:1.5pt" o:hralign="center" o:hrstd="t" o:hr="t" fillcolor="#aca899" stroked="f"/>
        </w:pict>
      </w:r>
    </w:p>
    <w:p w14:paraId="6059A76A" w14:textId="77777777" w:rsidR="004C1A4B" w:rsidRPr="00870494" w:rsidRDefault="004C1A4B" w:rsidP="004C1A4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14:paraId="6A788012" w14:textId="77777777"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14:paraId="2BD62854" w14:textId="77777777" w:rsidR="004C1A4B" w:rsidRPr="00286F2F" w:rsidRDefault="004C1A4B" w:rsidP="004C1A4B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14:paraId="51D5E6AC" w14:textId="77777777" w:rsidR="00C36B5B" w:rsidRDefault="004C1A4B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Review </w:t>
      </w:r>
      <w:r w:rsidR="00C36B5B">
        <w:rPr>
          <w:rFonts w:ascii="Calibri" w:hAnsi="Calibri" w:cs="Calibri"/>
          <w:sz w:val="22"/>
          <w:szCs w:val="22"/>
        </w:rPr>
        <w:t xml:space="preserve">and rank </w:t>
      </w:r>
      <w:r>
        <w:rPr>
          <w:rFonts w:ascii="Calibri" w:hAnsi="Calibri" w:cs="Calibri"/>
          <w:sz w:val="22"/>
          <w:szCs w:val="22"/>
        </w:rPr>
        <w:t>applications initially in two separate pools (M</w:t>
      </w:r>
      <w:r w:rsidR="00C36B5B">
        <w:rPr>
          <w:rFonts w:ascii="Calibri" w:hAnsi="Calibri" w:cs="Calibri"/>
          <w:sz w:val="22"/>
          <w:szCs w:val="22"/>
        </w:rPr>
        <w:t>aster’s</w:t>
      </w:r>
      <w:r>
        <w:rPr>
          <w:rFonts w:ascii="Calibri" w:hAnsi="Calibri" w:cs="Calibri"/>
          <w:sz w:val="22"/>
          <w:szCs w:val="22"/>
        </w:rPr>
        <w:t xml:space="preserve"> and D</w:t>
      </w:r>
      <w:r w:rsidR="00C36B5B">
        <w:rPr>
          <w:rFonts w:ascii="Calibri" w:hAnsi="Calibri" w:cs="Calibri"/>
          <w:sz w:val="22"/>
          <w:szCs w:val="22"/>
        </w:rPr>
        <w:t>octoral</w:t>
      </w:r>
      <w:r>
        <w:rPr>
          <w:rFonts w:ascii="Calibri" w:hAnsi="Calibri" w:cs="Calibri"/>
          <w:sz w:val="22"/>
          <w:szCs w:val="22"/>
        </w:rPr>
        <w:t>)</w:t>
      </w:r>
      <w:r w:rsidR="00C36B5B">
        <w:rPr>
          <w:rFonts w:ascii="Calibri" w:hAnsi="Calibri" w:cs="Calibri"/>
          <w:sz w:val="22"/>
          <w:szCs w:val="22"/>
        </w:rPr>
        <w:t xml:space="preserve"> and then together in one blended pool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5FF2B41" w14:textId="77777777" w:rsidR="00C234F8" w:rsidRDefault="00C36B5B" w:rsidP="00B52A5F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C234F8">
        <w:rPr>
          <w:rFonts w:ascii="Calibri" w:hAnsi="Calibri" w:cs="Calibri"/>
          <w:sz w:val="22"/>
          <w:szCs w:val="22"/>
        </w:rPr>
        <w:t>P</w:t>
      </w:r>
      <w:r w:rsidR="00286F2F" w:rsidRPr="00C234F8">
        <w:rPr>
          <w:rFonts w:ascii="Calibri" w:hAnsi="Calibri" w:cs="Calibri"/>
          <w:sz w:val="22"/>
          <w:szCs w:val="22"/>
        </w:rPr>
        <w:t xml:space="preserve">roduce </w:t>
      </w:r>
      <w:r w:rsidR="004B5FB1" w:rsidRPr="00C234F8">
        <w:rPr>
          <w:rFonts w:ascii="Calibri" w:hAnsi="Calibri" w:cs="Calibri"/>
          <w:sz w:val="22"/>
          <w:szCs w:val="22"/>
        </w:rPr>
        <w:t xml:space="preserve">one (1) final blended </w:t>
      </w:r>
      <w:r w:rsidR="00052264" w:rsidRPr="00C234F8">
        <w:rPr>
          <w:rFonts w:ascii="Calibri" w:hAnsi="Calibri" w:cs="Calibri"/>
          <w:sz w:val="22"/>
          <w:szCs w:val="22"/>
        </w:rPr>
        <w:t xml:space="preserve">list </w:t>
      </w:r>
      <w:r w:rsidR="004B5FB1" w:rsidRPr="00C234F8">
        <w:rPr>
          <w:rFonts w:ascii="Calibri" w:hAnsi="Calibri" w:cs="Calibri"/>
          <w:sz w:val="22"/>
          <w:szCs w:val="22"/>
        </w:rPr>
        <w:t>(M</w:t>
      </w:r>
      <w:r w:rsidRPr="00C234F8">
        <w:rPr>
          <w:rFonts w:ascii="Calibri" w:hAnsi="Calibri" w:cs="Calibri"/>
          <w:sz w:val="22"/>
          <w:szCs w:val="22"/>
        </w:rPr>
        <w:t xml:space="preserve"> </w:t>
      </w:r>
      <w:r w:rsidR="004B5FB1" w:rsidRPr="00C234F8">
        <w:rPr>
          <w:rFonts w:ascii="Calibri" w:hAnsi="Calibri" w:cs="Calibri"/>
          <w:sz w:val="22"/>
          <w:szCs w:val="22"/>
        </w:rPr>
        <w:t xml:space="preserve">and D combined) </w:t>
      </w:r>
      <w:r w:rsidRPr="00C234F8">
        <w:rPr>
          <w:rFonts w:ascii="Calibri" w:hAnsi="Calibri" w:cs="Calibri"/>
          <w:sz w:val="22"/>
          <w:szCs w:val="22"/>
        </w:rPr>
        <w:t>of rank-ordered</w:t>
      </w:r>
      <w:r w:rsidR="00052264" w:rsidRPr="00C234F8">
        <w:rPr>
          <w:rFonts w:ascii="Calibri" w:hAnsi="Calibri" w:cs="Calibri"/>
          <w:sz w:val="22"/>
          <w:szCs w:val="22"/>
        </w:rPr>
        <w:t xml:space="preserve"> applications. </w:t>
      </w:r>
      <w:r w:rsidR="00052264" w:rsidRPr="00C234F8">
        <w:rPr>
          <w:rFonts w:ascii="Calibri" w:hAnsi="Calibri" w:cs="Calibri"/>
          <w:b/>
          <w:bCs/>
          <w:sz w:val="22"/>
          <w:szCs w:val="22"/>
        </w:rPr>
        <w:t>The number of recommended</w:t>
      </w:r>
      <w:r w:rsidR="00200DC4" w:rsidRPr="00C234F8">
        <w:rPr>
          <w:rFonts w:ascii="Calibri" w:hAnsi="Calibri" w:cs="Calibri"/>
          <w:b/>
          <w:bCs/>
          <w:sz w:val="22"/>
          <w:szCs w:val="22"/>
        </w:rPr>
        <w:t>, rank-ordered applications in the</w:t>
      </w:r>
      <w:r w:rsidR="00052264" w:rsidRPr="00C234F8">
        <w:rPr>
          <w:rFonts w:ascii="Calibri" w:hAnsi="Calibri" w:cs="Calibri"/>
          <w:b/>
          <w:bCs/>
          <w:sz w:val="22"/>
          <w:szCs w:val="22"/>
        </w:rPr>
        <w:t xml:space="preserve"> list will be no less than 2x </w:t>
      </w:r>
      <w:r w:rsidR="004B5FB1" w:rsidRPr="00C234F8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C234F8">
        <w:rPr>
          <w:rFonts w:ascii="Calibri" w:hAnsi="Calibri" w:cs="Calibri"/>
          <w:b/>
          <w:bCs/>
          <w:sz w:val="22"/>
          <w:szCs w:val="22"/>
        </w:rPr>
        <w:t xml:space="preserve">program’s </w:t>
      </w:r>
      <w:r w:rsidR="004B5FB1" w:rsidRPr="00C234F8">
        <w:rPr>
          <w:rFonts w:ascii="Calibri" w:hAnsi="Calibri" w:cs="Calibri"/>
          <w:b/>
          <w:bCs/>
          <w:sz w:val="22"/>
          <w:szCs w:val="22"/>
        </w:rPr>
        <w:t>total</w:t>
      </w:r>
      <w:r w:rsidR="00052264" w:rsidRPr="00C234F8">
        <w:rPr>
          <w:rFonts w:ascii="Calibri" w:hAnsi="Calibri" w:cs="Calibri"/>
          <w:b/>
          <w:bCs/>
          <w:sz w:val="22"/>
          <w:szCs w:val="22"/>
        </w:rPr>
        <w:t xml:space="preserve"> award allocation</w:t>
      </w:r>
      <w:r w:rsidR="00052264" w:rsidRPr="00C234F8">
        <w:rPr>
          <w:rFonts w:ascii="Calibri" w:hAnsi="Calibri" w:cs="Calibri"/>
          <w:sz w:val="22"/>
          <w:szCs w:val="22"/>
        </w:rPr>
        <w:t xml:space="preserve">. For example, with an allocation of </w:t>
      </w:r>
      <w:r w:rsidRPr="00C234F8">
        <w:rPr>
          <w:rFonts w:ascii="Calibri" w:hAnsi="Calibri" w:cs="Calibri"/>
          <w:sz w:val="22"/>
          <w:szCs w:val="22"/>
        </w:rPr>
        <w:t>5</w:t>
      </w:r>
      <w:r w:rsidR="00052264" w:rsidRPr="00C234F8">
        <w:rPr>
          <w:rFonts w:ascii="Calibri" w:hAnsi="Calibri" w:cs="Calibri"/>
          <w:sz w:val="22"/>
          <w:szCs w:val="22"/>
        </w:rPr>
        <w:t xml:space="preserve"> awards, the final list will have </w:t>
      </w:r>
      <w:r w:rsidR="00200DC4" w:rsidRPr="00C234F8">
        <w:rPr>
          <w:rFonts w:ascii="Calibri" w:hAnsi="Calibri" w:cs="Calibri"/>
          <w:sz w:val="22"/>
          <w:szCs w:val="22"/>
        </w:rPr>
        <w:t>at least</w:t>
      </w:r>
      <w:r w:rsidRPr="00C234F8">
        <w:rPr>
          <w:rFonts w:ascii="Calibri" w:hAnsi="Calibri" w:cs="Calibri"/>
          <w:sz w:val="22"/>
          <w:szCs w:val="22"/>
        </w:rPr>
        <w:t xml:space="preserve"> 1</w:t>
      </w:r>
      <w:r w:rsidR="00052264" w:rsidRPr="00C234F8">
        <w:rPr>
          <w:rFonts w:ascii="Calibri" w:hAnsi="Calibri" w:cs="Calibri"/>
          <w:sz w:val="22"/>
          <w:szCs w:val="22"/>
        </w:rPr>
        <w:t xml:space="preserve">0 rank-ordered applications. </w:t>
      </w:r>
    </w:p>
    <w:p w14:paraId="792B1D20" w14:textId="1D136A27" w:rsidR="007D6D81" w:rsidRPr="00EE564B" w:rsidRDefault="004E4A5B" w:rsidP="00EE564B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4E4A5B">
        <w:rPr>
          <w:rFonts w:ascii="Calibri" w:hAnsi="Calibri" w:cs="Calibri"/>
          <w:bCs/>
          <w:sz w:val="22"/>
          <w:szCs w:val="22"/>
        </w:rPr>
        <w:t xml:space="preserve">Enter the ranks in </w:t>
      </w:r>
      <w:proofErr w:type="spellStart"/>
      <w:r w:rsidRPr="004E4A5B">
        <w:rPr>
          <w:rFonts w:ascii="Calibri" w:hAnsi="Calibri" w:cs="Calibri"/>
          <w:bCs/>
          <w:sz w:val="22"/>
          <w:szCs w:val="22"/>
        </w:rPr>
        <w:t>GradNet</w:t>
      </w:r>
      <w:proofErr w:type="spellEnd"/>
      <w:r w:rsidRPr="004E4A5B">
        <w:rPr>
          <w:rFonts w:ascii="Calibri" w:hAnsi="Calibri" w:cs="Calibri"/>
          <w:bCs/>
          <w:sz w:val="22"/>
          <w:szCs w:val="22"/>
        </w:rPr>
        <w:t xml:space="preserve"> and update the status of ranked applications to </w:t>
      </w:r>
      <w:r w:rsidRPr="004E4A5B">
        <w:rPr>
          <w:rFonts w:ascii="Calibri" w:hAnsi="Calibri" w:cs="Calibri"/>
          <w:sz w:val="22"/>
          <w:szCs w:val="22"/>
        </w:rPr>
        <w:t>Recommended</w:t>
      </w:r>
      <w:r w:rsidR="00EE564B">
        <w:rPr>
          <w:rFonts w:ascii="Calibri" w:hAnsi="Calibri" w:cs="Calibri"/>
          <w:bCs/>
          <w:sz w:val="22"/>
          <w:szCs w:val="22"/>
        </w:rPr>
        <w:t xml:space="preserve"> </w:t>
      </w:r>
      <w:r w:rsidR="0083499B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83499B">
        <w:rPr>
          <w:rFonts w:ascii="Calibri" w:hAnsi="Calibri" w:cs="Calibri"/>
          <w:b/>
          <w:sz w:val="22"/>
          <w:szCs w:val="22"/>
        </w:rPr>
        <w:t>9</w:t>
      </w:r>
      <w:r w:rsidR="0083499B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3499B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83499B">
        <w:rPr>
          <w:rFonts w:ascii="Calibri" w:hAnsi="Calibri" w:cs="Calibri"/>
          <w:b/>
          <w:sz w:val="22"/>
          <w:szCs w:val="22"/>
        </w:rPr>
        <w:t>8.</w:t>
      </w:r>
    </w:p>
    <w:p w14:paraId="06093D87" w14:textId="77777777" w:rsidR="007D6D81" w:rsidRDefault="007D6D81">
      <w:pPr>
        <w:pStyle w:val="Heading3"/>
        <w:rPr>
          <w:color w:val="365F91" w:themeColor="accent1" w:themeShade="BF"/>
        </w:rPr>
      </w:pPr>
    </w:p>
    <w:p w14:paraId="2B8A22E9" w14:textId="77777777"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14:paraId="6D6A0754" w14:textId="77777777" w:rsidR="00B52A5F" w:rsidRPr="00286F2F" w:rsidRDefault="00B52A5F" w:rsidP="00B52A5F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14:paraId="17A814AF" w14:textId="77777777" w:rsidR="00C36B5B" w:rsidRDefault="00C36B5B" w:rsidP="00C36B5B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all </w:t>
      </w:r>
      <w:r w:rsidR="00B52A5F">
        <w:rPr>
          <w:rFonts w:ascii="Calibri" w:hAnsi="Calibri" w:cs="Calibri"/>
          <w:sz w:val="22"/>
          <w:szCs w:val="22"/>
        </w:rPr>
        <w:t>remaining</w:t>
      </w:r>
      <w:r w:rsidRPr="000A7836">
        <w:rPr>
          <w:rFonts w:ascii="Calibri" w:hAnsi="Calibri" w:cs="Calibri"/>
          <w:sz w:val="22"/>
          <w:szCs w:val="22"/>
        </w:rPr>
        <w:t xml:space="preserve"> applications </w:t>
      </w:r>
      <w:r w:rsidR="004D0F89">
        <w:rPr>
          <w:rFonts w:ascii="Calibri" w:hAnsi="Calibri" w:cs="Calibri"/>
          <w:sz w:val="22"/>
          <w:szCs w:val="22"/>
        </w:rPr>
        <w:t xml:space="preserve">in one </w:t>
      </w:r>
      <w:r w:rsidR="00E1694A">
        <w:rPr>
          <w:rFonts w:ascii="Calibri" w:hAnsi="Calibri" w:cs="Calibri"/>
          <w:sz w:val="22"/>
          <w:szCs w:val="22"/>
        </w:rPr>
        <w:t xml:space="preserve">blended </w:t>
      </w:r>
      <w:r w:rsidR="004D0F89">
        <w:rPr>
          <w:rFonts w:ascii="Calibri" w:hAnsi="Calibri" w:cs="Calibri"/>
          <w:sz w:val="22"/>
          <w:szCs w:val="22"/>
        </w:rPr>
        <w:t xml:space="preserve">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 w:rsidR="00E1694A">
        <w:rPr>
          <w:rFonts w:ascii="Calibri" w:hAnsi="Calibri" w:cs="Calibri"/>
          <w:sz w:val="22"/>
          <w:szCs w:val="22"/>
        </w:rPr>
        <w:t>.</w:t>
      </w:r>
    </w:p>
    <w:p w14:paraId="262E3818" w14:textId="77777777" w:rsidR="00E1694A" w:rsidRPr="00E1694A" w:rsidRDefault="00C36B5B" w:rsidP="00C36B5B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a Graduate Program is recommending more than </w:t>
      </w:r>
      <w:r w:rsidR="002716EB"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 w:rsidR="002716EB"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rank-ordered list must be </w:t>
      </w:r>
      <w:r w:rsidR="00E1694A">
        <w:rPr>
          <w:rFonts w:asciiTheme="minorHAnsi" w:eastAsiaTheme="minorHAnsi" w:hAnsiTheme="minorHAnsi"/>
          <w:sz w:val="22"/>
          <w:szCs w:val="22"/>
        </w:rPr>
        <w:t>produced.</w:t>
      </w:r>
    </w:p>
    <w:p w14:paraId="562AC53D" w14:textId="77777777" w:rsidR="00E1694A" w:rsidRPr="000A7836" w:rsidRDefault="000419D4" w:rsidP="00E1694A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1D2DCF">
        <w:rPr>
          <w:rFonts w:asciiTheme="minorHAnsi" w:eastAsiaTheme="minorHAnsi" w:hAnsiTheme="minorHAnsi"/>
          <w:sz w:val="22"/>
          <w:szCs w:val="22"/>
        </w:rPr>
        <w:t>pdate</w:t>
      </w:r>
      <w:r w:rsidR="00E1694A" w:rsidRPr="000A7836">
        <w:rPr>
          <w:rFonts w:asciiTheme="minorHAnsi" w:eastAsiaTheme="minorHAnsi" w:hAnsiTheme="minorHAnsi"/>
          <w:sz w:val="22"/>
          <w:szCs w:val="22"/>
        </w:rPr>
        <w:t xml:space="preserve"> the status </w:t>
      </w:r>
      <w:r w:rsidR="00E1694A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E1694A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14:paraId="41DD8ACE" w14:textId="77777777" w:rsidR="00C36B5B" w:rsidRPr="00E1694A" w:rsidRDefault="00291EE9" w:rsidP="00C36B5B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1694A" w:rsidRPr="00E1694A">
        <w:rPr>
          <w:rFonts w:ascii="Calibri" w:hAnsi="Calibri" w:cs="Calibri"/>
          <w:sz w:val="22"/>
          <w:szCs w:val="22"/>
        </w:rPr>
        <w:t>ommunicate the results to the Faculty Office by its internal deadline</w:t>
      </w:r>
      <w:r w:rsidR="00E1694A" w:rsidRPr="00E1694A">
        <w:rPr>
          <w:rFonts w:ascii="Calibri" w:hAnsi="Calibri" w:cs="Calibri"/>
          <w:b/>
          <w:sz w:val="22"/>
          <w:szCs w:val="22"/>
        </w:rPr>
        <w:t>.</w:t>
      </w:r>
      <w:r w:rsidR="00C36B5B" w:rsidRPr="00E1694A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6B22CBE9" w14:textId="77777777" w:rsidR="003F5442" w:rsidRPr="00607A68" w:rsidRDefault="007B0A95" w:rsidP="00607A68">
      <w:pPr>
        <w:pStyle w:val="Heading3"/>
        <w:rPr>
          <w:rFonts w:cs="Times New Roman"/>
          <w:color w:val="4F2170"/>
          <w:sz w:val="28"/>
          <w:szCs w:val="28"/>
        </w:rPr>
      </w:pPr>
      <w:r>
        <w:rPr>
          <w:rFonts w:cs="Times New Roman"/>
          <w:color w:val="4F2170"/>
          <w:sz w:val="28"/>
          <w:szCs w:val="28"/>
        </w:rPr>
        <w:br/>
      </w:r>
      <w:r w:rsidR="00C36B5B" w:rsidRPr="00870494">
        <w:rPr>
          <w:rFonts w:cs="Times New Roman"/>
          <w:color w:val="4F2170"/>
          <w:sz w:val="28"/>
          <w:szCs w:val="28"/>
        </w:rPr>
        <w:t xml:space="preserve">Faculty </w:t>
      </w:r>
      <w:r w:rsidR="00C36B5B">
        <w:rPr>
          <w:rFonts w:cs="Times New Roman"/>
          <w:color w:val="4F2170"/>
          <w:sz w:val="28"/>
          <w:szCs w:val="28"/>
        </w:rPr>
        <w:t xml:space="preserve">Committee </w:t>
      </w:r>
      <w:r w:rsidR="00C36B5B" w:rsidRPr="00870494">
        <w:rPr>
          <w:rFonts w:cs="Times New Roman"/>
          <w:color w:val="4F2170"/>
          <w:sz w:val="28"/>
          <w:szCs w:val="28"/>
        </w:rPr>
        <w:t>Process</w:t>
      </w:r>
      <w:r w:rsidR="00607A68">
        <w:rPr>
          <w:rFonts w:cs="Times New Roman"/>
          <w:color w:val="4F2170"/>
          <w:sz w:val="28"/>
          <w:szCs w:val="28"/>
        </w:rPr>
        <w:br/>
      </w:r>
      <w:r w:rsidR="003F5442">
        <w:rPr>
          <w:color w:val="365F91" w:themeColor="accent1" w:themeShade="BF"/>
        </w:rPr>
        <w:br/>
      </w:r>
      <w:r w:rsidR="003F5442" w:rsidRPr="00607A68">
        <w:rPr>
          <w:color w:val="365F91" w:themeColor="accent1" w:themeShade="BF"/>
        </w:rPr>
        <w:t>International Applications:</w:t>
      </w:r>
    </w:p>
    <w:p w14:paraId="30F5A9FF" w14:textId="77777777" w:rsidR="003F5442" w:rsidRPr="002028D9" w:rsidRDefault="003F5442" w:rsidP="003F5442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3557E">
        <w:rPr>
          <w:rFonts w:asciiTheme="minorHAnsi" w:hAnsiTheme="minorHAnsi"/>
          <w:sz w:val="22"/>
          <w:szCs w:val="22"/>
        </w:rPr>
        <w:t xml:space="preserve">In March, the Faculty Committee </w:t>
      </w:r>
      <w:r>
        <w:rPr>
          <w:rFonts w:asciiTheme="minorHAnsi" w:hAnsiTheme="minorHAnsi"/>
          <w:sz w:val="22"/>
          <w:szCs w:val="22"/>
        </w:rPr>
        <w:t xml:space="preserve">reviews all recommended applications from its graduate programs, and ultimately agrees on </w:t>
      </w:r>
      <w:r w:rsidRPr="002028D9">
        <w:rPr>
          <w:rFonts w:ascii="Calibri" w:hAnsi="Calibri" w:cs="Calibri"/>
          <w:sz w:val="22"/>
          <w:szCs w:val="22"/>
        </w:rPr>
        <w:t xml:space="preserve">one (1) final blended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Pr="002028D9">
        <w:rPr>
          <w:rFonts w:ascii="Calibri" w:hAnsi="Calibri" w:cs="Calibri"/>
          <w:sz w:val="22"/>
          <w:szCs w:val="22"/>
        </w:rPr>
        <w:t>list (M</w:t>
      </w:r>
      <w:r>
        <w:rPr>
          <w:rFonts w:ascii="Calibri" w:hAnsi="Calibri" w:cs="Calibri"/>
          <w:sz w:val="22"/>
          <w:szCs w:val="22"/>
        </w:rPr>
        <w:t xml:space="preserve"> an</w:t>
      </w:r>
      <w:r w:rsidRPr="002028D9">
        <w:rPr>
          <w:rFonts w:ascii="Calibri" w:hAnsi="Calibri" w:cs="Calibri"/>
          <w:sz w:val="22"/>
          <w:szCs w:val="22"/>
        </w:rPr>
        <w:t xml:space="preserve">d D combined). </w:t>
      </w:r>
      <w:r w:rsidR="00D96F18">
        <w:rPr>
          <w:rFonts w:ascii="Calibri" w:hAnsi="Calibri" w:cs="Calibri"/>
          <w:sz w:val="22"/>
          <w:szCs w:val="22"/>
        </w:rPr>
        <w:t xml:space="preserve">  Up to three (3) applications may be submitted.</w:t>
      </w:r>
    </w:p>
    <w:p w14:paraId="5B877B52" w14:textId="68186B01" w:rsidR="007D6D81" w:rsidRPr="00F44524" w:rsidRDefault="007D6D81" w:rsidP="007D6D81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0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83499B">
        <w:rPr>
          <w:rFonts w:ascii="Calibri" w:hAnsi="Calibri" w:cs="Calibri"/>
          <w:b/>
          <w:sz w:val="22"/>
          <w:szCs w:val="22"/>
        </w:rPr>
        <w:t>Monday</w:t>
      </w:r>
      <w:r w:rsidR="0083499B" w:rsidRPr="00047776">
        <w:rPr>
          <w:rFonts w:ascii="Calibri" w:hAnsi="Calibri" w:cs="Calibri"/>
          <w:b/>
          <w:sz w:val="22"/>
          <w:szCs w:val="22"/>
        </w:rPr>
        <w:t>, March</w:t>
      </w:r>
      <w:r w:rsidR="0083499B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83499B">
        <w:rPr>
          <w:rFonts w:ascii="Calibri" w:hAnsi="Calibri" w:cs="Calibri"/>
          <w:b/>
          <w:sz w:val="22"/>
          <w:szCs w:val="22"/>
        </w:rPr>
        <w:t>19</w:t>
      </w:r>
      <w:r w:rsidR="0083499B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3499B">
        <w:rPr>
          <w:rFonts w:ascii="Calibri" w:hAnsi="Calibri" w:cs="Calibri"/>
          <w:b/>
          <w:sz w:val="22"/>
          <w:szCs w:val="22"/>
        </w:rPr>
        <w:t xml:space="preserve">, </w:t>
      </w:r>
      <w:r w:rsidR="0083499B" w:rsidRPr="00047776">
        <w:rPr>
          <w:rFonts w:ascii="Calibri" w:hAnsi="Calibri" w:cs="Calibri"/>
          <w:b/>
          <w:sz w:val="22"/>
          <w:szCs w:val="22"/>
        </w:rPr>
        <w:t>201</w:t>
      </w:r>
      <w:r w:rsidR="0083499B">
        <w:rPr>
          <w:rFonts w:ascii="Calibri" w:hAnsi="Calibri" w:cs="Calibri"/>
          <w:b/>
          <w:sz w:val="22"/>
          <w:szCs w:val="22"/>
        </w:rPr>
        <w:t>8</w:t>
      </w:r>
      <w:r w:rsidR="0083499B" w:rsidRPr="00047776">
        <w:rPr>
          <w:rFonts w:ascii="Calibri" w:hAnsi="Calibri" w:cs="Calibri"/>
          <w:b/>
          <w:sz w:val="22"/>
          <w:szCs w:val="22"/>
        </w:rPr>
        <w:t>.</w:t>
      </w:r>
    </w:p>
    <w:p w14:paraId="7792D0E7" w14:textId="75BECB20" w:rsidR="007D6D81" w:rsidRPr="00047776" w:rsidRDefault="007D6D81" w:rsidP="007D6D81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</w:t>
      </w:r>
      <w:r w:rsidR="00024293">
        <w:rPr>
          <w:rFonts w:asciiTheme="minorHAnsi" w:eastAsiaTheme="minorHAnsi" w:hAnsiTheme="minorHAnsi"/>
          <w:sz w:val="22"/>
          <w:szCs w:val="22"/>
        </w:rPr>
        <w:t>by</w:t>
      </w:r>
      <w:r>
        <w:rPr>
          <w:rFonts w:asciiTheme="minorHAnsi" w:eastAsiaTheme="minorHAnsi" w:hAnsiTheme="minorHAnsi"/>
          <w:sz w:val="22"/>
          <w:szCs w:val="22"/>
        </w:rPr>
        <w:t xml:space="preserve"> the Associate Dean’s </w:t>
      </w:r>
      <w:r w:rsidR="00024293">
        <w:rPr>
          <w:rFonts w:asciiTheme="minorHAnsi" w:eastAsiaTheme="minorHAnsi" w:hAnsiTheme="minorHAnsi"/>
          <w:sz w:val="22"/>
          <w:szCs w:val="22"/>
        </w:rPr>
        <w:t>in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Pr="00F44524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024293">
        <w:rPr>
          <w:rFonts w:asciiTheme="minorHAnsi" w:eastAsiaTheme="minorHAnsi" w:hAnsiTheme="minorHAnsi"/>
          <w:sz w:val="22"/>
          <w:szCs w:val="22"/>
        </w:rPr>
        <w:t>201</w:t>
      </w:r>
      <w:r w:rsidR="0083499B">
        <w:rPr>
          <w:rFonts w:asciiTheme="minorHAnsi" w:eastAsiaTheme="minorHAnsi" w:hAnsiTheme="minorHAnsi"/>
          <w:sz w:val="22"/>
          <w:szCs w:val="22"/>
        </w:rPr>
        <w:t>8</w:t>
      </w:r>
      <w:r w:rsidR="00EE564B">
        <w:rPr>
          <w:rFonts w:asciiTheme="minorHAnsi" w:eastAsiaTheme="minorHAnsi" w:hAnsiTheme="minorHAnsi"/>
          <w:sz w:val="22"/>
          <w:szCs w:val="22"/>
        </w:rPr>
        <w:t>.</w:t>
      </w:r>
    </w:p>
    <w:p w14:paraId="56651F22" w14:textId="77777777" w:rsidR="00052264" w:rsidRPr="002028D9" w:rsidRDefault="00052264" w:rsidP="007D6D81">
      <w:pPr>
        <w:pStyle w:val="ListParagraph"/>
        <w:autoSpaceDE/>
        <w:autoSpaceDN/>
        <w:spacing w:before="200" w:after="200"/>
        <w:rPr>
          <w:b/>
          <w:color w:val="365F91" w:themeColor="accent1" w:themeShade="BF"/>
          <w:sz w:val="22"/>
          <w:szCs w:val="22"/>
        </w:rPr>
      </w:pPr>
    </w:p>
    <w:sectPr w:rsidR="00052264" w:rsidRPr="002028D9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C381" w14:textId="77777777" w:rsidR="00074295" w:rsidRDefault="00074295" w:rsidP="008A71D4">
      <w:r>
        <w:separator/>
      </w:r>
    </w:p>
  </w:endnote>
  <w:endnote w:type="continuationSeparator" w:id="0">
    <w:p w14:paraId="6A9B59BB" w14:textId="77777777" w:rsidR="00074295" w:rsidRDefault="00074295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9"/>
      <w:docPartObj>
        <w:docPartGallery w:val="Page Numbers (Bottom of Page)"/>
        <w:docPartUnique/>
      </w:docPartObj>
    </w:sdtPr>
    <w:sdtEndPr/>
    <w:sdtContent>
      <w:p w14:paraId="3D3CEAD4" w14:textId="40542CCE" w:rsidR="000419D4" w:rsidRDefault="00947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9940A" w14:textId="77777777" w:rsidR="000419D4" w:rsidRDefault="00041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B555" w14:textId="77777777" w:rsidR="00074295" w:rsidRDefault="00074295" w:rsidP="008A71D4">
      <w:r>
        <w:separator/>
      </w:r>
    </w:p>
  </w:footnote>
  <w:footnote w:type="continuationSeparator" w:id="0">
    <w:p w14:paraId="231DD700" w14:textId="77777777" w:rsidR="00074295" w:rsidRDefault="00074295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80F0" w14:textId="77777777" w:rsidR="000419D4" w:rsidRPr="008A71D4" w:rsidRDefault="000419D4">
    <w:pPr>
      <w:pStyle w:val="Header"/>
      <w:rPr>
        <w:b/>
      </w:rPr>
    </w:pPr>
    <w:r>
      <w:rPr>
        <w:noProof/>
      </w:rPr>
      <w:drawing>
        <wp:inline distT="0" distB="0" distL="0" distR="0" wp14:anchorId="798FE534" wp14:editId="2058E265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F233B"/>
    <w:multiLevelType w:val="hybridMultilevel"/>
    <w:tmpl w:val="8B1C1360"/>
    <w:lvl w:ilvl="0" w:tplc="CDA4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E68"/>
    <w:multiLevelType w:val="hybridMultilevel"/>
    <w:tmpl w:val="848C64BA"/>
    <w:lvl w:ilvl="0" w:tplc="B1AC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826"/>
    <w:multiLevelType w:val="multilevel"/>
    <w:tmpl w:val="7B48D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F109A3"/>
    <w:multiLevelType w:val="hybridMultilevel"/>
    <w:tmpl w:val="6984551E"/>
    <w:lvl w:ilvl="0" w:tplc="42B22E58">
      <w:numFmt w:val="bullet"/>
      <w:lvlText w:val="•"/>
      <w:lvlJc w:val="left"/>
      <w:pPr>
        <w:ind w:left="720" w:hanging="67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BB0AA6"/>
    <w:multiLevelType w:val="multilevel"/>
    <w:tmpl w:val="3726FAE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5F8F459D"/>
    <w:multiLevelType w:val="multilevel"/>
    <w:tmpl w:val="4864B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24293"/>
    <w:rsid w:val="000419D4"/>
    <w:rsid w:val="00052264"/>
    <w:rsid w:val="00056608"/>
    <w:rsid w:val="0005797F"/>
    <w:rsid w:val="00074295"/>
    <w:rsid w:val="0008368B"/>
    <w:rsid w:val="000F47FF"/>
    <w:rsid w:val="0012088E"/>
    <w:rsid w:val="00156927"/>
    <w:rsid w:val="001C6B68"/>
    <w:rsid w:val="001D2DCF"/>
    <w:rsid w:val="001D387B"/>
    <w:rsid w:val="001F599B"/>
    <w:rsid w:val="00200DC4"/>
    <w:rsid w:val="002025A8"/>
    <w:rsid w:val="002028D9"/>
    <w:rsid w:val="00226A6D"/>
    <w:rsid w:val="002460C6"/>
    <w:rsid w:val="00267DEC"/>
    <w:rsid w:val="002716EB"/>
    <w:rsid w:val="00286F2F"/>
    <w:rsid w:val="00291EE9"/>
    <w:rsid w:val="002C0BC0"/>
    <w:rsid w:val="002F2A62"/>
    <w:rsid w:val="002F2F06"/>
    <w:rsid w:val="00316D2E"/>
    <w:rsid w:val="00362929"/>
    <w:rsid w:val="003671F0"/>
    <w:rsid w:val="003856F0"/>
    <w:rsid w:val="003F5442"/>
    <w:rsid w:val="00423B24"/>
    <w:rsid w:val="0045435E"/>
    <w:rsid w:val="00486CAB"/>
    <w:rsid w:val="004A7C49"/>
    <w:rsid w:val="004B5FB1"/>
    <w:rsid w:val="004C1A4B"/>
    <w:rsid w:val="004D0F89"/>
    <w:rsid w:val="004E4A5B"/>
    <w:rsid w:val="0053136E"/>
    <w:rsid w:val="00551A19"/>
    <w:rsid w:val="005D69B6"/>
    <w:rsid w:val="00607A68"/>
    <w:rsid w:val="00625A5A"/>
    <w:rsid w:val="00665CFA"/>
    <w:rsid w:val="006C160F"/>
    <w:rsid w:val="007467FC"/>
    <w:rsid w:val="00776EC7"/>
    <w:rsid w:val="00796EC4"/>
    <w:rsid w:val="007A7DDC"/>
    <w:rsid w:val="007B0A95"/>
    <w:rsid w:val="007D6D81"/>
    <w:rsid w:val="00817F40"/>
    <w:rsid w:val="0083499B"/>
    <w:rsid w:val="00834B25"/>
    <w:rsid w:val="0087664B"/>
    <w:rsid w:val="008A71D4"/>
    <w:rsid w:val="008D13ED"/>
    <w:rsid w:val="008E7F2C"/>
    <w:rsid w:val="00901934"/>
    <w:rsid w:val="00916DA4"/>
    <w:rsid w:val="009361D9"/>
    <w:rsid w:val="00937115"/>
    <w:rsid w:val="00937DF0"/>
    <w:rsid w:val="00947A5D"/>
    <w:rsid w:val="00954863"/>
    <w:rsid w:val="009A5C3B"/>
    <w:rsid w:val="009B2C13"/>
    <w:rsid w:val="00A1291D"/>
    <w:rsid w:val="00A60B10"/>
    <w:rsid w:val="00A87544"/>
    <w:rsid w:val="00AA27E2"/>
    <w:rsid w:val="00AD2F3B"/>
    <w:rsid w:val="00AF0857"/>
    <w:rsid w:val="00B10C82"/>
    <w:rsid w:val="00B204A0"/>
    <w:rsid w:val="00B415F7"/>
    <w:rsid w:val="00B41C3F"/>
    <w:rsid w:val="00B52A5F"/>
    <w:rsid w:val="00BE27F2"/>
    <w:rsid w:val="00BF3F00"/>
    <w:rsid w:val="00C234F8"/>
    <w:rsid w:val="00C36B5B"/>
    <w:rsid w:val="00C81C08"/>
    <w:rsid w:val="00C82714"/>
    <w:rsid w:val="00C94358"/>
    <w:rsid w:val="00D26F04"/>
    <w:rsid w:val="00D34DCF"/>
    <w:rsid w:val="00D42C02"/>
    <w:rsid w:val="00D96F18"/>
    <w:rsid w:val="00DE6406"/>
    <w:rsid w:val="00E061BD"/>
    <w:rsid w:val="00E11E74"/>
    <w:rsid w:val="00E1694A"/>
    <w:rsid w:val="00EB2BB8"/>
    <w:rsid w:val="00EB3295"/>
    <w:rsid w:val="00EC19B3"/>
    <w:rsid w:val="00EE564B"/>
    <w:rsid w:val="00EE5FC5"/>
    <w:rsid w:val="00F20174"/>
    <w:rsid w:val="00F344B6"/>
    <w:rsid w:val="00FA03D7"/>
    <w:rsid w:val="00FA1CD2"/>
    <w:rsid w:val="00FA3BFB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60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560C-A88D-41D3-9C3F-AEB4871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2017-11-21T19:01:00Z</cp:lastPrinted>
  <dcterms:created xsi:type="dcterms:W3CDTF">2017-11-27T17:30:00Z</dcterms:created>
  <dcterms:modified xsi:type="dcterms:W3CDTF">2017-11-27T17:30:00Z</dcterms:modified>
</cp:coreProperties>
</file>